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BB" w:rsidRDefault="00F368BB"/>
    <w:p w:rsidR="00013007" w:rsidRPr="00013007" w:rsidRDefault="00013007" w:rsidP="00013007">
      <w:pPr>
        <w:spacing w:after="0" w:line="240" w:lineRule="auto"/>
        <w:ind w:left="284" w:firstLine="283"/>
        <w:jc w:val="center"/>
        <w:rPr>
          <w:rFonts w:ascii="Times New Roman" w:hAnsi="Times New Roman"/>
        </w:rPr>
      </w:pPr>
      <w:r w:rsidRPr="00013007">
        <w:rPr>
          <w:rFonts w:ascii="Times New Roman" w:hAnsi="Times New Roman"/>
        </w:rPr>
        <w:t>Перечень</w:t>
      </w:r>
    </w:p>
    <w:p w:rsidR="00013007" w:rsidRPr="00013007" w:rsidRDefault="00013007" w:rsidP="00013007">
      <w:pPr>
        <w:spacing w:after="0" w:line="240" w:lineRule="auto"/>
        <w:jc w:val="center"/>
        <w:rPr>
          <w:rFonts w:ascii="Times New Roman" w:hAnsi="Times New Roman"/>
        </w:rPr>
      </w:pPr>
      <w:r w:rsidRPr="00013007">
        <w:rPr>
          <w:rFonts w:ascii="Times New Roman" w:hAnsi="Times New Roman"/>
        </w:rPr>
        <w:t>показателей результативности и эффективности</w:t>
      </w:r>
    </w:p>
    <w:p w:rsidR="00013007" w:rsidRPr="00013007" w:rsidRDefault="00013007" w:rsidP="00013007">
      <w:pPr>
        <w:spacing w:after="0" w:line="240" w:lineRule="auto"/>
        <w:jc w:val="center"/>
        <w:rPr>
          <w:rFonts w:ascii="Times New Roman" w:hAnsi="Times New Roman"/>
        </w:rPr>
      </w:pPr>
      <w:r w:rsidRPr="00013007">
        <w:rPr>
          <w:rFonts w:ascii="Times New Roman" w:hAnsi="Times New Roman"/>
        </w:rPr>
        <w:t>контрольно-надзорной деятельности Управления ветеринарии</w:t>
      </w:r>
    </w:p>
    <w:p w:rsidR="00013007" w:rsidRPr="00013007" w:rsidRDefault="00013007" w:rsidP="00013007">
      <w:pPr>
        <w:spacing w:after="0" w:line="240" w:lineRule="auto"/>
        <w:jc w:val="center"/>
        <w:rPr>
          <w:rFonts w:ascii="Times New Roman" w:hAnsi="Times New Roman"/>
        </w:rPr>
      </w:pPr>
      <w:r w:rsidRPr="00013007">
        <w:rPr>
          <w:rFonts w:ascii="Times New Roman" w:hAnsi="Times New Roman"/>
        </w:rPr>
        <w:t>Ленинградской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3453"/>
        <w:gridCol w:w="1077"/>
        <w:gridCol w:w="3005"/>
        <w:gridCol w:w="120"/>
        <w:gridCol w:w="617"/>
        <w:gridCol w:w="233"/>
        <w:gridCol w:w="844"/>
        <w:gridCol w:w="624"/>
        <w:gridCol w:w="1531"/>
        <w:gridCol w:w="859"/>
        <w:gridCol w:w="2096"/>
      </w:tblGrid>
      <w:tr w:rsidR="00013007" w:rsidRPr="00013007" w:rsidTr="00822058">
        <w:tc>
          <w:tcPr>
            <w:tcW w:w="15655" w:type="dxa"/>
            <w:gridSpan w:val="1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 xml:space="preserve">Наименование органа исполнительной власти: </w:t>
            </w:r>
            <w:r w:rsidRPr="004F3B1C">
              <w:rPr>
                <w:rFonts w:ascii="Times New Roman" w:hAnsi="Times New Roman"/>
                <w:b/>
              </w:rPr>
              <w:t>Управление ветеринарии Ленинградской области</w:t>
            </w:r>
          </w:p>
        </w:tc>
      </w:tr>
      <w:tr w:rsidR="00013007" w:rsidRPr="00013007" w:rsidTr="00822058">
        <w:tc>
          <w:tcPr>
            <w:tcW w:w="15655" w:type="dxa"/>
            <w:gridSpan w:val="1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Наименование вида контрольно-надзорной деятельности: региональный государственный ветеринарный надзор (</w:t>
            </w:r>
            <w:r w:rsidRPr="004F3B1C">
              <w:rPr>
                <w:rFonts w:ascii="Times New Roman" w:hAnsi="Times New Roman"/>
                <w:b/>
              </w:rPr>
              <w:t>реестровый номер функции 4700000010000145619)</w:t>
            </w:r>
          </w:p>
        </w:tc>
      </w:tr>
      <w:tr w:rsidR="00013007" w:rsidRPr="00013007" w:rsidTr="00822058">
        <w:tc>
          <w:tcPr>
            <w:tcW w:w="15655" w:type="dxa"/>
            <w:gridSpan w:val="1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Негативные явления, на устранение которых направлена контрольно-надзорная деятельность: возникновение эпизоотий, массовых заразных и незаразных болезней животных (птиц, рыб, пчел), выпуск в оборот опасных в ветеринарном отношении продуктов животноводства</w:t>
            </w:r>
          </w:p>
        </w:tc>
      </w:tr>
      <w:tr w:rsidR="00013007" w:rsidRPr="00013007" w:rsidTr="00822058">
        <w:tc>
          <w:tcPr>
            <w:tcW w:w="15655" w:type="dxa"/>
            <w:gridSpan w:val="1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Цели контрольно-надзорной деятельности: предупреждение, выявление и пресечение нарушений требований законодательства в области ветеринарии, систематическое наблюдение за исполнением требований законодательства Российской Федерации в области ветеринарии, эпизоотическое благополучие Ленинградской области, выпуск безопасных в ветеринарном отношении продуктов животноводства</w:t>
            </w: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Номер (индекс) показателя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77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Формула расчета</w:t>
            </w:r>
          </w:p>
        </w:tc>
        <w:tc>
          <w:tcPr>
            <w:tcW w:w="3005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Комментарии (интерпретации) значений</w:t>
            </w:r>
          </w:p>
        </w:tc>
        <w:tc>
          <w:tcPr>
            <w:tcW w:w="970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Значение показателя (текущее)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Международные сопоставления показателей</w:t>
            </w: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Целевые значения показателей</w:t>
            </w: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Источник данных для определения значения показателя</w:t>
            </w:r>
          </w:p>
        </w:tc>
        <w:tc>
          <w:tcPr>
            <w:tcW w:w="2955" w:type="dxa"/>
            <w:gridSpan w:val="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</w:t>
            </w:r>
          </w:p>
        </w:tc>
        <w:tc>
          <w:tcPr>
            <w:tcW w:w="14459" w:type="dxa"/>
            <w:gridSpan w:val="11"/>
          </w:tcPr>
          <w:p w:rsidR="00013007" w:rsidRPr="00DF7822" w:rsidRDefault="00013007" w:rsidP="00013007">
            <w:pPr>
              <w:rPr>
                <w:rFonts w:ascii="Times New Roman" w:hAnsi="Times New Roman"/>
                <w:b/>
              </w:rPr>
            </w:pPr>
            <w:r w:rsidRPr="00DF7822">
              <w:rPr>
                <w:rFonts w:ascii="Times New Roman" w:hAnsi="Times New Roman"/>
                <w:b/>
              </w:rPr>
              <w:t>Индикативные показатели, характеризующие различные аспекты контрольно-надзорной деятельности Управления ветеринарии Ленинградской области</w:t>
            </w: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В.1</w:t>
            </w:r>
          </w:p>
        </w:tc>
        <w:tc>
          <w:tcPr>
            <w:tcW w:w="14459" w:type="dxa"/>
            <w:gridSpan w:val="11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 Управления ветеринарии Ленинградской области</w:t>
            </w: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>В.1.4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сумма уплаченных (взысканных) административных штрафов от общей суммы наложенных административных штрафов (</w:t>
            </w:r>
            <w:proofErr w:type="gramStart"/>
            <w:r w:rsidRPr="00013007">
              <w:rPr>
                <w:rFonts w:ascii="Times New Roman" w:hAnsi="Times New Roman"/>
              </w:rPr>
              <w:t>млн</w:t>
            </w:r>
            <w:proofErr w:type="gramEnd"/>
            <w:r w:rsidRPr="00013007">
              <w:rPr>
                <w:rFonts w:ascii="Times New Roman" w:hAnsi="Times New Roman"/>
              </w:rPr>
              <w:t xml:space="preserve"> руб.)</w:t>
            </w:r>
          </w:p>
        </w:tc>
        <w:tc>
          <w:tcPr>
            <w:tcW w:w="970" w:type="dxa"/>
            <w:gridSpan w:val="3"/>
          </w:tcPr>
          <w:p w:rsidR="00013007" w:rsidRPr="00013007" w:rsidRDefault="008246CD" w:rsidP="00013007">
            <w:pPr>
              <w:rPr>
                <w:rFonts w:ascii="Times New Roman" w:hAnsi="Times New Roman"/>
              </w:rPr>
            </w:pPr>
            <w:r w:rsidRPr="008246CD">
              <w:rPr>
                <w:rFonts w:ascii="Times New Roman" w:hAnsi="Times New Roman"/>
              </w:rPr>
              <w:t>2, 0178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CC6EC6" w:rsidRDefault="00013007" w:rsidP="00013007">
            <w:pPr>
              <w:rPr>
                <w:rFonts w:ascii="Times New Roman" w:hAnsi="Times New Roman"/>
                <w:b/>
              </w:rPr>
            </w:pPr>
            <w:r w:rsidRPr="00CC6EC6">
              <w:rPr>
                <w:rFonts w:ascii="Times New Roman" w:hAnsi="Times New Roman"/>
                <w:b/>
              </w:rPr>
              <w:t>В.2</w:t>
            </w:r>
          </w:p>
        </w:tc>
        <w:tc>
          <w:tcPr>
            <w:tcW w:w="14459" w:type="dxa"/>
            <w:gridSpan w:val="11"/>
          </w:tcPr>
          <w:p w:rsidR="00013007" w:rsidRPr="00CC6EC6" w:rsidRDefault="00013007" w:rsidP="00013007">
            <w:pPr>
              <w:rPr>
                <w:rFonts w:ascii="Times New Roman" w:hAnsi="Times New Roman"/>
                <w:b/>
              </w:rPr>
            </w:pPr>
            <w:r w:rsidRPr="00CC6EC6">
              <w:rPr>
                <w:rFonts w:ascii="Times New Roman" w:hAnsi="Times New Roman"/>
                <w:b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 в области ветеринарии</w:t>
            </w: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В.2.1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учитывает суммарное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970" w:type="dxa"/>
            <w:gridSpan w:val="3"/>
          </w:tcPr>
          <w:p w:rsidR="00013007" w:rsidRPr="00013007" w:rsidRDefault="008246CD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В.2.2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количество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 xml:space="preserve">показатель устанавливается для органов, применяющих </w:t>
            </w:r>
            <w:proofErr w:type="gramStart"/>
            <w:r w:rsidRPr="00013007">
              <w:rPr>
                <w:rFonts w:ascii="Times New Roman" w:hAnsi="Times New Roman"/>
              </w:rPr>
              <w:t>риск-ориентированный</w:t>
            </w:r>
            <w:proofErr w:type="gramEnd"/>
            <w:r w:rsidRPr="00013007">
              <w:rPr>
                <w:rFonts w:ascii="Times New Roman" w:hAnsi="Times New Roman"/>
              </w:rPr>
              <w:t xml:space="preserve"> подход при осуществлении государственного контроля (надзора), муниципального контроля</w:t>
            </w:r>
          </w:p>
        </w:tc>
        <w:tc>
          <w:tcPr>
            <w:tcW w:w="970" w:type="dxa"/>
            <w:gridSpan w:val="3"/>
          </w:tcPr>
          <w:p w:rsidR="00013007" w:rsidRPr="00013007" w:rsidRDefault="008246CD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В.2.3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показатели устанавливаются в процентах от общего количества субъектов, в отношении которых были проведены контрольно-надзорные мероприятия</w:t>
            </w:r>
          </w:p>
        </w:tc>
        <w:tc>
          <w:tcPr>
            <w:tcW w:w="970" w:type="dxa"/>
            <w:gridSpan w:val="3"/>
          </w:tcPr>
          <w:p w:rsidR="00013007" w:rsidRPr="00013007" w:rsidRDefault="008246CD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В.2.4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 xml:space="preserve">количество субъектов, у которых были устранены нарушения, выявленные в результате </w:t>
            </w:r>
            <w:r w:rsidRPr="00013007">
              <w:rPr>
                <w:rFonts w:ascii="Times New Roman" w:hAnsi="Times New Roman"/>
              </w:rPr>
              <w:lastRenderedPageBreak/>
              <w:t>проведения контрольно-надзорных мероприятий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 xml:space="preserve">показатели устанавливаются в отношении нарушений, в результате которых причинен вред (ущерб) или была </w:t>
            </w:r>
            <w:r w:rsidRPr="00013007">
              <w:rPr>
                <w:rFonts w:ascii="Times New Roman" w:hAnsi="Times New Roman"/>
              </w:rPr>
              <w:lastRenderedPageBreak/>
              <w:t>создана угроза его причинения.</w:t>
            </w:r>
          </w:p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 xml:space="preserve">Группы показателей устанавливаются для органов, применяющих </w:t>
            </w:r>
            <w:proofErr w:type="gramStart"/>
            <w:r w:rsidRPr="00013007">
              <w:rPr>
                <w:rFonts w:ascii="Times New Roman" w:hAnsi="Times New Roman"/>
              </w:rPr>
              <w:t>риск-ориентированный</w:t>
            </w:r>
            <w:proofErr w:type="gramEnd"/>
            <w:r w:rsidRPr="00013007">
              <w:rPr>
                <w:rFonts w:ascii="Times New Roman" w:hAnsi="Times New Roman"/>
              </w:rPr>
              <w:t xml:space="preserve"> подход при осуществлении государственного контроля (надзора), муниципального контроля</w:t>
            </w:r>
          </w:p>
        </w:tc>
        <w:tc>
          <w:tcPr>
            <w:tcW w:w="970" w:type="dxa"/>
            <w:gridSpan w:val="3"/>
          </w:tcPr>
          <w:p w:rsidR="00013007" w:rsidRPr="00013007" w:rsidRDefault="00514DF9" w:rsidP="00013007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>В.2.5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от общего коли</w:t>
            </w:r>
            <w:bookmarkStart w:id="0" w:name="_GoBack"/>
            <w:bookmarkEnd w:id="0"/>
            <w:r w:rsidRPr="00013007">
              <w:rPr>
                <w:rFonts w:ascii="Times New Roman" w:hAnsi="Times New Roman"/>
              </w:rPr>
              <w:t>чества субъектов, в отношении которых были проведены контрольно-надзорные мероприятия</w:t>
            </w:r>
          </w:p>
        </w:tc>
        <w:tc>
          <w:tcPr>
            <w:tcW w:w="970" w:type="dxa"/>
            <w:gridSpan w:val="3"/>
          </w:tcPr>
          <w:p w:rsidR="00013007" w:rsidRPr="00013007" w:rsidRDefault="003125E4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В.2.9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количество штатных единиц, прошедших в течение последних 3 лет программы переобучения или повышения квалификации</w:t>
            </w:r>
          </w:p>
        </w:tc>
        <w:tc>
          <w:tcPr>
            <w:tcW w:w="4082" w:type="dxa"/>
            <w:gridSpan w:val="2"/>
          </w:tcPr>
          <w:p w:rsid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из числа штатных единиц, в должностные обязанности которых входят выполнение контрольно-надзорных функций и осуществление деятельности по выдаче разрешительных документов (разрешений, лицензий)</w:t>
            </w:r>
          </w:p>
          <w:p w:rsidR="00CC6EC6" w:rsidRDefault="00CC6EC6" w:rsidP="00013007">
            <w:pPr>
              <w:rPr>
                <w:rFonts w:ascii="Times New Roman" w:hAnsi="Times New Roman"/>
              </w:rPr>
            </w:pPr>
          </w:p>
          <w:p w:rsidR="00CC6EC6" w:rsidRDefault="00CC6EC6" w:rsidP="00013007">
            <w:pPr>
              <w:rPr>
                <w:rFonts w:ascii="Times New Roman" w:hAnsi="Times New Roman"/>
              </w:rPr>
            </w:pPr>
          </w:p>
          <w:p w:rsidR="00CC6EC6" w:rsidRPr="00013007" w:rsidRDefault="00CC6EC6" w:rsidP="00013007">
            <w:pPr>
              <w:rPr>
                <w:rFonts w:ascii="Times New Roman" w:hAnsi="Times New Roman"/>
              </w:rPr>
            </w:pPr>
          </w:p>
        </w:tc>
        <w:tc>
          <w:tcPr>
            <w:tcW w:w="970" w:type="dxa"/>
            <w:gridSpan w:val="3"/>
          </w:tcPr>
          <w:p w:rsidR="00013007" w:rsidRPr="00013007" w:rsidRDefault="002A25B9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В.2.10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инспекторов, прошедших в течение последних 3 лет программы переобучения или повышения квалификации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от общего количества инспекторского состава</w:t>
            </w:r>
          </w:p>
        </w:tc>
        <w:tc>
          <w:tcPr>
            <w:tcW w:w="970" w:type="dxa"/>
            <w:gridSpan w:val="3"/>
          </w:tcPr>
          <w:p w:rsidR="00013007" w:rsidRPr="00013007" w:rsidRDefault="002A25B9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>В.3</w:t>
            </w:r>
          </w:p>
        </w:tc>
        <w:tc>
          <w:tcPr>
            <w:tcW w:w="14459" w:type="dxa"/>
            <w:gridSpan w:val="11"/>
          </w:tcPr>
          <w:p w:rsidR="00013007" w:rsidRPr="00CC6EC6" w:rsidRDefault="00013007" w:rsidP="00013007">
            <w:pPr>
              <w:rPr>
                <w:rFonts w:ascii="Times New Roman" w:hAnsi="Times New Roman"/>
                <w:b/>
              </w:rPr>
            </w:pPr>
            <w:r w:rsidRPr="00CC6EC6">
              <w:rPr>
                <w:rFonts w:ascii="Times New Roman" w:hAnsi="Times New Roman"/>
                <w:b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</w:t>
            </w:r>
          </w:p>
        </w:tc>
        <w:tc>
          <w:tcPr>
            <w:tcW w:w="14459" w:type="dxa"/>
            <w:gridSpan w:val="11"/>
          </w:tcPr>
          <w:p w:rsidR="00013007" w:rsidRPr="00CC6EC6" w:rsidRDefault="00013007" w:rsidP="00013007">
            <w:pPr>
              <w:rPr>
                <w:rFonts w:ascii="Times New Roman" w:hAnsi="Times New Roman"/>
                <w:b/>
              </w:rPr>
            </w:pPr>
            <w:r w:rsidRPr="00CC6EC6">
              <w:rPr>
                <w:rFonts w:ascii="Times New Roman" w:hAnsi="Times New Roman"/>
                <w:b/>
              </w:rPr>
              <w:t>проверки</w:t>
            </w: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В.3.1.1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общее количество проверок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устанавливается общий суммарный показатель (</w:t>
            </w:r>
            <w:hyperlink w:anchor="P254" w:history="1">
              <w:r w:rsidRPr="00013007">
                <w:rPr>
                  <w:rStyle w:val="a3"/>
                  <w:rFonts w:ascii="Times New Roman" w:hAnsi="Times New Roman"/>
                </w:rPr>
                <w:t>В.3.1.2</w:t>
              </w:r>
            </w:hyperlink>
            <w:r w:rsidRPr="00013007">
              <w:rPr>
                <w:rFonts w:ascii="Times New Roman" w:hAnsi="Times New Roman"/>
              </w:rPr>
              <w:t xml:space="preserve"> + </w:t>
            </w:r>
            <w:hyperlink w:anchor="P263" w:history="1">
              <w:r w:rsidRPr="00013007">
                <w:rPr>
                  <w:rStyle w:val="a3"/>
                  <w:rFonts w:ascii="Times New Roman" w:hAnsi="Times New Roman"/>
                </w:rPr>
                <w:t>В.3.1.3</w:t>
              </w:r>
            </w:hyperlink>
            <w:r w:rsidRPr="00013007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gridSpan w:val="2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bookmarkStart w:id="1" w:name="P254"/>
            <w:bookmarkEnd w:id="1"/>
            <w:r w:rsidRPr="00013007">
              <w:rPr>
                <w:rFonts w:ascii="Times New Roman" w:hAnsi="Times New Roman"/>
              </w:rPr>
              <w:t>В.3.1.2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общее количество плановых проверок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устанавливается общий суммарный показатель</w:t>
            </w:r>
          </w:p>
        </w:tc>
        <w:tc>
          <w:tcPr>
            <w:tcW w:w="850" w:type="dxa"/>
            <w:gridSpan w:val="2"/>
          </w:tcPr>
          <w:p w:rsidR="00013007" w:rsidRPr="00013007" w:rsidRDefault="002A25B9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bookmarkStart w:id="2" w:name="P263"/>
            <w:bookmarkEnd w:id="2"/>
            <w:r w:rsidRPr="00013007">
              <w:rPr>
                <w:rFonts w:ascii="Times New Roman" w:hAnsi="Times New Roman"/>
              </w:rPr>
              <w:t>В.3.1.3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общее количество внеплановых проверок</w:t>
            </w:r>
          </w:p>
        </w:tc>
        <w:tc>
          <w:tcPr>
            <w:tcW w:w="4202" w:type="dxa"/>
            <w:gridSpan w:val="3"/>
          </w:tcPr>
          <w:p w:rsid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6EC6">
              <w:rPr>
                <w:rFonts w:ascii="Times New Roman" w:hAnsi="Times New Roman"/>
              </w:rPr>
              <w:t>устанавливается общий суммарный показатель, а также по различным основаниям</w:t>
            </w:r>
            <w:r w:rsidRPr="00CC6EC6">
              <w:rPr>
                <w:rFonts w:ascii="Times New Roman" w:hAnsi="Times New Roman"/>
                <w:sz w:val="20"/>
                <w:szCs w:val="20"/>
              </w:rPr>
              <w:t xml:space="preserve"> (в том числе по контролю за</w:t>
            </w:r>
            <w:r w:rsidRPr="00CC6EC6">
              <w:rPr>
                <w:rFonts w:ascii="Times New Roman" w:hAnsi="Times New Roman"/>
              </w:rPr>
              <w:t xml:space="preserve"> исполнением предписаний, выданных по результатам проведенной ранее проверки,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фактах, на основании приказов (распоряжений) руководителя органа государственного контроля (надзора), изданных в соответствии с поручениями Президента Российской Федерации</w:t>
            </w:r>
            <w:proofErr w:type="gramEnd"/>
            <w:r w:rsidRPr="00CC6EC6">
              <w:rPr>
                <w:rFonts w:ascii="Times New Roman" w:hAnsi="Times New Roman"/>
              </w:rPr>
              <w:t xml:space="preserve">, </w:t>
            </w:r>
            <w:proofErr w:type="gramStart"/>
            <w:r w:rsidRPr="00CC6EC6">
              <w:rPr>
                <w:rFonts w:ascii="Times New Roman" w:hAnsi="Times New Roman"/>
              </w:rPr>
              <w:t>Правительства Российской Федерации, на основании приказов (распоряжений) руководителя органа государственного контроля (надзора), изданных в соответствии с требованием органов прокуратуры по иным основаниям, установленным законодательством Российской Федерации)</w:t>
            </w:r>
            <w:proofErr w:type="gramEnd"/>
          </w:p>
          <w:p w:rsidR="00CC6EC6" w:rsidRPr="00CC6EC6" w:rsidRDefault="00CC6EC6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013007" w:rsidRPr="00013007" w:rsidRDefault="009E0EC2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>В.3.1.4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количество субъектов (объектов), в отношении которых были проведены проверки, в том числе в разрезе категорий риска (классов опасности)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устанавливается показатель общего количества субъектов, в отношении которых проведены проверки</w:t>
            </w:r>
          </w:p>
        </w:tc>
        <w:tc>
          <w:tcPr>
            <w:tcW w:w="850" w:type="dxa"/>
            <w:gridSpan w:val="2"/>
          </w:tcPr>
          <w:p w:rsidR="00013007" w:rsidRPr="00013007" w:rsidRDefault="00FE32BD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В.3.1.5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количество плановых проверок, проведенных в отношении субъектов (объектов), в разрезе категорий риска (классов опасности)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 xml:space="preserve">группы показателей устанавливаются в соответствии с общим количеством плановых проверок, проведенных в отношении субъектов (объектов), для органов, применяющих </w:t>
            </w:r>
            <w:proofErr w:type="gramStart"/>
            <w:r w:rsidRPr="00013007">
              <w:rPr>
                <w:rFonts w:ascii="Times New Roman" w:hAnsi="Times New Roman"/>
              </w:rPr>
              <w:t>риск-ориентированный</w:t>
            </w:r>
            <w:proofErr w:type="gramEnd"/>
            <w:r w:rsidRPr="00013007">
              <w:rPr>
                <w:rFonts w:ascii="Times New Roman" w:hAnsi="Times New Roman"/>
              </w:rPr>
              <w:t xml:space="preserve"> подход при осуществлении государственного контроля (надзора), муниципального контроля</w:t>
            </w:r>
          </w:p>
        </w:tc>
        <w:tc>
          <w:tcPr>
            <w:tcW w:w="850" w:type="dxa"/>
            <w:gridSpan w:val="2"/>
          </w:tcPr>
          <w:p w:rsidR="00013007" w:rsidRPr="00013007" w:rsidRDefault="00FE32BD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В.3.1.6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количество внеплановых проверок, проведенных в отношении субъектов (объектов), в разрезе категорий риска (классов опасности)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 xml:space="preserve">группы показателей устанавливаются в соответствии с общим количеством внеплановых проверок, проведенных в отношении субъектов (объектов), для органов, применяющих </w:t>
            </w:r>
            <w:proofErr w:type="gramStart"/>
            <w:r w:rsidRPr="00013007">
              <w:rPr>
                <w:rFonts w:ascii="Times New Roman" w:hAnsi="Times New Roman"/>
              </w:rPr>
              <w:t>риск-ориентированный</w:t>
            </w:r>
            <w:proofErr w:type="gramEnd"/>
            <w:r w:rsidRPr="00013007">
              <w:rPr>
                <w:rFonts w:ascii="Times New Roman" w:hAnsi="Times New Roman"/>
              </w:rPr>
              <w:t xml:space="preserve"> подход при осуществлении государственного контроля (надзора), муниципального контроля</w:t>
            </w:r>
          </w:p>
        </w:tc>
        <w:tc>
          <w:tcPr>
            <w:tcW w:w="850" w:type="dxa"/>
            <w:gridSpan w:val="2"/>
          </w:tcPr>
          <w:p w:rsidR="00013007" w:rsidRPr="00013007" w:rsidRDefault="00FE32BD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В.3.1.13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документарных проверок в отношении объектов (субъектов), в том числе в разрезе категорий риска (классов опасности)</w:t>
            </w:r>
          </w:p>
        </w:tc>
        <w:tc>
          <w:tcPr>
            <w:tcW w:w="4202" w:type="dxa"/>
            <w:gridSpan w:val="3"/>
          </w:tcPr>
          <w:p w:rsidR="00013007" w:rsidRPr="00822058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822058">
              <w:rPr>
                <w:rFonts w:ascii="Times New Roman" w:hAnsi="Times New Roman"/>
              </w:rPr>
              <w:t>показатель устанавливается в процентах от общего количества проведенных проверок.</w:t>
            </w:r>
          </w:p>
          <w:p w:rsidR="00822058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822058">
              <w:rPr>
                <w:rFonts w:ascii="Times New Roman" w:hAnsi="Times New Roman"/>
              </w:rPr>
              <w:t xml:space="preserve">Группа показателей устанавливается для органов, применяющих </w:t>
            </w:r>
            <w:proofErr w:type="gramStart"/>
            <w:r w:rsidRPr="00822058">
              <w:rPr>
                <w:rFonts w:ascii="Times New Roman" w:hAnsi="Times New Roman"/>
              </w:rPr>
              <w:t>риск-ориентированный</w:t>
            </w:r>
            <w:proofErr w:type="gramEnd"/>
            <w:r w:rsidRPr="00822058">
              <w:rPr>
                <w:rFonts w:ascii="Times New Roman" w:hAnsi="Times New Roman"/>
              </w:rPr>
              <w:t xml:space="preserve"> подход при осуществлении государственного контроля (надзора), муниципального контроля</w:t>
            </w:r>
          </w:p>
        </w:tc>
        <w:tc>
          <w:tcPr>
            <w:tcW w:w="850" w:type="dxa"/>
            <w:gridSpan w:val="2"/>
          </w:tcPr>
          <w:p w:rsidR="00013007" w:rsidRPr="00013007" w:rsidRDefault="00FE32BD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22058">
              <w:rPr>
                <w:rFonts w:ascii="Times New Roman" w:hAnsi="Times New Roman"/>
              </w:rPr>
              <w:t>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>В.3.1.14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плановых проверок, проведенных по фактам нарушений обязательных требований, с которыми связано причинение вреда (ущерба) охраняемым законом ценностям, с целью прекращения дальнейшего причинения вреда (ущерба) и ликвидации последствий таких нарушений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показатели устанавливаются в процентах от общего количества проведенных плановых проверок</w:t>
            </w:r>
          </w:p>
        </w:tc>
        <w:tc>
          <w:tcPr>
            <w:tcW w:w="850" w:type="dxa"/>
            <w:gridSpan w:val="2"/>
          </w:tcPr>
          <w:p w:rsidR="00013007" w:rsidRPr="00013007" w:rsidRDefault="00FE32BD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22058">
              <w:rPr>
                <w:rFonts w:ascii="Times New Roman" w:hAnsi="Times New Roman"/>
              </w:rPr>
              <w:t>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В.3.1.16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внеплановых проверок, проведенных по фактам нарушений, с которыми связано возникновение угрозы причинения вреда (ущерба) охраняемым законом ценностям, с целью предотвращения угрозы причинения такого вреда (ущерба)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показатели устанавливаются в процентах от общего количества проведенных внеплановых проверок</w:t>
            </w:r>
          </w:p>
        </w:tc>
        <w:tc>
          <w:tcPr>
            <w:tcW w:w="850" w:type="dxa"/>
            <w:gridSpan w:val="2"/>
          </w:tcPr>
          <w:p w:rsidR="00013007" w:rsidRPr="00013007" w:rsidRDefault="00FE32BD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В.3.1.18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проверок, на результаты которых поданы жалобы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от общего числа проведенных проверок</w:t>
            </w:r>
          </w:p>
        </w:tc>
        <w:tc>
          <w:tcPr>
            <w:tcW w:w="850" w:type="dxa"/>
            <w:gridSpan w:val="2"/>
          </w:tcPr>
          <w:p w:rsidR="00013007" w:rsidRPr="00013007" w:rsidRDefault="00E07796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В.3.1.20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общее количество проверок, проведенных совместно с другими органами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устанавливается общий суммарный показатель</w:t>
            </w:r>
          </w:p>
        </w:tc>
        <w:tc>
          <w:tcPr>
            <w:tcW w:w="850" w:type="dxa"/>
            <w:gridSpan w:val="2"/>
          </w:tcPr>
          <w:p w:rsidR="00013007" w:rsidRPr="00013007" w:rsidRDefault="00E07796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В.3.1.21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количество проверок, проведенных с привлечением экспертных организаций и экспертов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устанавливается общий суммарный показатель</w:t>
            </w:r>
          </w:p>
        </w:tc>
        <w:tc>
          <w:tcPr>
            <w:tcW w:w="850" w:type="dxa"/>
            <w:gridSpan w:val="2"/>
          </w:tcPr>
          <w:p w:rsidR="00013007" w:rsidRPr="00013007" w:rsidRDefault="00E07796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>В.3.1.23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заявлений органов государственного контроля (надзора),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от общего числа направленных в органы прокуратуры заявлений, в том числе заявлений о согласовании проведения внеплановых выездных проверок, проводимых в рамках лицензионного контроля, в согласовании которых было отказано</w:t>
            </w:r>
          </w:p>
        </w:tc>
        <w:tc>
          <w:tcPr>
            <w:tcW w:w="850" w:type="dxa"/>
            <w:gridSpan w:val="2"/>
          </w:tcPr>
          <w:p w:rsidR="00013007" w:rsidRPr="00013007" w:rsidRDefault="00E07796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В.3.1.24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и учитывает долю проверок, результаты которых были признаны недействительными, в том числе по решению суда и по предписанию органов прокуратуры</w:t>
            </w:r>
          </w:p>
        </w:tc>
        <w:tc>
          <w:tcPr>
            <w:tcW w:w="850" w:type="dxa"/>
            <w:gridSpan w:val="2"/>
          </w:tcPr>
          <w:p w:rsidR="00013007" w:rsidRPr="00013007" w:rsidRDefault="00E07796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В.3.1.25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 xml:space="preserve">количество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</w:t>
            </w:r>
            <w:proofErr w:type="gramStart"/>
            <w:r w:rsidRPr="00013007">
              <w:rPr>
                <w:rFonts w:ascii="Times New Roman" w:hAnsi="Times New Roman"/>
              </w:rPr>
              <w:t>результатам</w:t>
            </w:r>
            <w:proofErr w:type="gramEnd"/>
            <w:r w:rsidRPr="00013007">
              <w:rPr>
                <w:rFonts w:ascii="Times New Roman" w:hAnsi="Times New Roman"/>
              </w:rPr>
      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устанавливается общий суммарный показатель</w:t>
            </w:r>
          </w:p>
        </w:tc>
        <w:tc>
          <w:tcPr>
            <w:tcW w:w="850" w:type="dxa"/>
            <w:gridSpan w:val="2"/>
          </w:tcPr>
          <w:p w:rsidR="00013007" w:rsidRPr="00013007" w:rsidRDefault="00E07796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>В.3.1.29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013007">
              <w:rPr>
                <w:rFonts w:ascii="Times New Roman" w:hAnsi="Times New Roman"/>
              </w:rPr>
              <w:t>доля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  <w:proofErr w:type="gramEnd"/>
          </w:p>
        </w:tc>
        <w:tc>
          <w:tcPr>
            <w:tcW w:w="4202" w:type="dxa"/>
            <w:gridSpan w:val="3"/>
          </w:tcPr>
          <w:p w:rsid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показатели устанавливаются в процентах по каждому виду мероприятий (плановому, внеплановому и по каждой из причин)</w:t>
            </w:r>
          </w:p>
          <w:p w:rsidR="00B264AC" w:rsidRDefault="00B264AC" w:rsidP="00CC6EC6">
            <w:pPr>
              <w:spacing w:line="240" w:lineRule="auto"/>
              <w:rPr>
                <w:rFonts w:ascii="Times New Roman" w:hAnsi="Times New Roman"/>
              </w:rPr>
            </w:pPr>
            <w:r w:rsidRPr="00B264AC">
              <w:rPr>
                <w:rFonts w:ascii="Times New Roman" w:hAnsi="Times New Roman"/>
              </w:rPr>
              <w:t>воспрепятствование-</w:t>
            </w:r>
            <w:r>
              <w:rPr>
                <w:rFonts w:ascii="Times New Roman" w:hAnsi="Times New Roman"/>
              </w:rPr>
              <w:t xml:space="preserve"> 3,84%;</w:t>
            </w:r>
          </w:p>
          <w:p w:rsidR="00B264AC" w:rsidRDefault="00B264AC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связи с прекращением деятельности – 2,6%;</w:t>
            </w:r>
          </w:p>
          <w:p w:rsidR="00B264AC" w:rsidRDefault="00B264AC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связи с отменой предписания- 7,7%</w:t>
            </w:r>
          </w:p>
          <w:p w:rsidR="00B264AC" w:rsidRPr="00013007" w:rsidRDefault="00B264AC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013007" w:rsidRDefault="00E07796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Плановые-0%;</w:t>
            </w:r>
          </w:p>
          <w:p w:rsidR="00E07796" w:rsidRDefault="00E07796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Внеплановые: </w:t>
            </w:r>
          </w:p>
          <w:p w:rsidR="00B264AC" w:rsidRDefault="00B264AC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3,84%</w:t>
            </w:r>
          </w:p>
          <w:p w:rsidR="00B264AC" w:rsidRDefault="00B264AC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2,6%</w:t>
            </w:r>
          </w:p>
          <w:p w:rsidR="00B264AC" w:rsidRPr="00013007" w:rsidRDefault="00B264AC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7,7%</w:t>
            </w:r>
          </w:p>
        </w:tc>
        <w:tc>
          <w:tcPr>
            <w:tcW w:w="84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В.3.1.30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от общего числа выявленных правонарушений, в том числе правонарушений, выявленных в рамках лицензионного контроля</w:t>
            </w:r>
          </w:p>
        </w:tc>
        <w:tc>
          <w:tcPr>
            <w:tcW w:w="850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21,2%</w:t>
            </w:r>
          </w:p>
        </w:tc>
        <w:tc>
          <w:tcPr>
            <w:tcW w:w="84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В.3.1.34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от общего количества проверок, в результате которых выявлены нарушения обязательных требований</w:t>
            </w:r>
          </w:p>
        </w:tc>
        <w:tc>
          <w:tcPr>
            <w:tcW w:w="850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84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В.3.1.35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 xml:space="preserve">показатель устанавливается в соответствии с общей суммой наложенных штрафов, с </w:t>
            </w:r>
            <w:proofErr w:type="gramStart"/>
            <w:r w:rsidRPr="00013007">
              <w:rPr>
                <w:rFonts w:ascii="Times New Roman" w:hAnsi="Times New Roman"/>
              </w:rPr>
              <w:t>учетом</w:t>
            </w:r>
            <w:proofErr w:type="gramEnd"/>
            <w:r w:rsidRPr="00013007">
              <w:rPr>
                <w:rFonts w:ascii="Times New Roman" w:hAnsi="Times New Roman"/>
              </w:rPr>
              <w:t xml:space="preserve"> в том числе штрафов, наложенных на должностных лиц, индивидуальных предпринимателей и юридических лиц. Показатель устанавливается в </w:t>
            </w:r>
            <w:proofErr w:type="gramStart"/>
            <w:r w:rsidRPr="00013007">
              <w:rPr>
                <w:rFonts w:ascii="Times New Roman" w:hAnsi="Times New Roman"/>
              </w:rPr>
              <w:t>млн</w:t>
            </w:r>
            <w:proofErr w:type="gramEnd"/>
            <w:r w:rsidRPr="00013007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850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 w:rsidRPr="00CC763C">
              <w:rPr>
                <w:rFonts w:ascii="Times New Roman" w:hAnsi="Times New Roman"/>
                <w:color w:val="FF0000"/>
              </w:rPr>
              <w:t>1,75</w:t>
            </w:r>
          </w:p>
        </w:tc>
        <w:tc>
          <w:tcPr>
            <w:tcW w:w="84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>В.3.1.36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учитывает сумму уплаченных административных штрафов (</w:t>
            </w:r>
            <w:proofErr w:type="gramStart"/>
            <w:r w:rsidRPr="00013007">
              <w:rPr>
                <w:rFonts w:ascii="Times New Roman" w:hAnsi="Times New Roman"/>
              </w:rPr>
              <w:t>млн</w:t>
            </w:r>
            <w:proofErr w:type="gramEnd"/>
            <w:r w:rsidRPr="00013007">
              <w:rPr>
                <w:rFonts w:ascii="Times New Roman" w:hAnsi="Times New Roman"/>
              </w:rPr>
              <w:t xml:space="preserve"> руб.)</w:t>
            </w:r>
          </w:p>
        </w:tc>
        <w:tc>
          <w:tcPr>
            <w:tcW w:w="850" w:type="dxa"/>
            <w:gridSpan w:val="2"/>
          </w:tcPr>
          <w:p w:rsidR="00013007" w:rsidRPr="00013007" w:rsidRDefault="00295119" w:rsidP="00013007">
            <w:pPr>
              <w:rPr>
                <w:rFonts w:ascii="Times New Roman" w:hAnsi="Times New Roman"/>
              </w:rPr>
            </w:pPr>
            <w:r w:rsidRPr="00CC763C">
              <w:rPr>
                <w:rFonts w:ascii="Times New Roman" w:hAnsi="Times New Roman"/>
                <w:color w:val="FF0000"/>
              </w:rPr>
              <w:t>1,73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CC6EC6">
        <w:tc>
          <w:tcPr>
            <w:tcW w:w="11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В.3.1.37</w:t>
            </w:r>
          </w:p>
        </w:tc>
        <w:tc>
          <w:tcPr>
            <w:tcW w:w="3453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4202" w:type="dxa"/>
            <w:gridSpan w:val="3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и учитывает наложенные штрафы</w:t>
            </w:r>
          </w:p>
        </w:tc>
        <w:tc>
          <w:tcPr>
            <w:tcW w:w="850" w:type="dxa"/>
            <w:gridSpan w:val="2"/>
          </w:tcPr>
          <w:p w:rsidR="00013007" w:rsidRPr="00013007" w:rsidRDefault="00295119" w:rsidP="0001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99,6%</w:t>
            </w:r>
          </w:p>
        </w:tc>
        <w:tc>
          <w:tcPr>
            <w:tcW w:w="84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013007">
            <w:pPr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DF7822" w:rsidRDefault="00013007" w:rsidP="00CC6E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F7822">
              <w:rPr>
                <w:rFonts w:ascii="Times New Roman" w:hAnsi="Times New Roman"/>
                <w:b/>
              </w:rPr>
              <w:t>В.3.3</w:t>
            </w:r>
          </w:p>
        </w:tc>
        <w:tc>
          <w:tcPr>
            <w:tcW w:w="14459" w:type="dxa"/>
            <w:gridSpan w:val="11"/>
          </w:tcPr>
          <w:p w:rsidR="00013007" w:rsidRPr="00DF7822" w:rsidRDefault="00013007" w:rsidP="00CC6E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F7822">
              <w:rPr>
                <w:rFonts w:ascii="Times New Roman" w:hAnsi="Times New Roman"/>
                <w:b/>
              </w:rPr>
              <w:t>плановые (рейдовые) осмотры</w:t>
            </w: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В.3.3.1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общее количество плановых (рейдовых) осмотров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устанавливается общий суммарный показатель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В.3.3.4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плановых (рейдовых) осмотров, по итогам которых выявлены нарушения, в общем числе проведенных рейдовых осмотров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В.3.3.7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плановых (рейдовых) осмотров, по результатам которых были назначены внеплановые проверки в отношении субъектов (объектов) контрольно-надзорной деятельности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от общего числа рейдовых осмотров, по итогам которых были выявлены правонарушения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В.3.3.8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плановых (рейдовых) осмотров, по итогам которых после проведения внеплановых проверок были возбуждены дела об административных правонарушениях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от общего числа рейдовых осмотров, по итогам которых назначены внеплановые проверки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>В.3.3.9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плановых (рейдовых) осмотров, по итогам которых после проведения внеплановых проверок были наложены административные наказания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от общего числа рейдовых осмотров, по итогам которых после проведения внеплановых проверок возбуждены дела об административных правонарушениях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В.3.3.10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доля плановых (рейдовых) осмотров, по результатам которых 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 от общего количества рейдовых осмотров, в результате которых выявлены нарушения обязательных требований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В.3.3.11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количество выявленных правонарушений при проведении плановых (рейдовых) осмотров</w:t>
            </w:r>
          </w:p>
        </w:tc>
        <w:tc>
          <w:tcPr>
            <w:tcW w:w="4082" w:type="dxa"/>
            <w:gridSpan w:val="2"/>
          </w:tcPr>
          <w:p w:rsidR="00013007" w:rsidRPr="00DF7822" w:rsidRDefault="00013007" w:rsidP="00CC6E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822">
              <w:rPr>
                <w:rFonts w:ascii="Times New Roman" w:hAnsi="Times New Roman"/>
                <w:sz w:val="20"/>
                <w:szCs w:val="20"/>
              </w:rPr>
              <w:t>группы показателей устанавливаются в общем количестве выявленных правонарушений, а также по типам нарушений (нарушение обязательных требований законодательства,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невыполнение предписаний органов государственного контроля (надзора), муниципального контроля)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В.3.3.15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общее количество административных наказаний, наложенных по результатам плановых (рейдовых) осмотров</w:t>
            </w:r>
          </w:p>
        </w:tc>
        <w:tc>
          <w:tcPr>
            <w:tcW w:w="4082" w:type="dxa"/>
            <w:gridSpan w:val="2"/>
          </w:tcPr>
          <w:p w:rsidR="00013007" w:rsidRPr="00DF7822" w:rsidRDefault="00013007" w:rsidP="00CC6E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822">
              <w:rPr>
                <w:rFonts w:ascii="Times New Roman" w:hAnsi="Times New Roman"/>
                <w:sz w:val="20"/>
                <w:szCs w:val="20"/>
              </w:rPr>
              <w:t xml:space="preserve">показатели устанавливаются в соответствии с общим количеством административных наказаний, а также по видам наказаний (конфискация орудия или предмета совершения административного правонарушения, лишение специального права, предоставленного физическому лицу, административное </w:t>
            </w:r>
            <w:proofErr w:type="gramStart"/>
            <w:r w:rsidRPr="00DF7822">
              <w:rPr>
                <w:rFonts w:ascii="Times New Roman" w:hAnsi="Times New Roman"/>
                <w:sz w:val="20"/>
                <w:szCs w:val="20"/>
              </w:rPr>
              <w:t>выдворение</w:t>
            </w:r>
            <w:proofErr w:type="gramEnd"/>
            <w:r w:rsidRPr="00DF7822">
              <w:rPr>
                <w:rFonts w:ascii="Times New Roman" w:hAnsi="Times New Roman"/>
                <w:sz w:val="20"/>
                <w:szCs w:val="20"/>
              </w:rPr>
              <w:t xml:space="preserve"> за пределы Российской Федерации иностранного гражданина или лица без гражданства, дисквалификация, административное приостановление деятельности, предупреждение, административный штраф)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lastRenderedPageBreak/>
              <w:t>В.3.3.16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общая сумма наложенных административных штрафов по итогам проведенных по результатам плановых (рейдовых) осмотров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 xml:space="preserve">показатель устанавливается в соответствии с общей суммой наложенных штрафов, </w:t>
            </w:r>
            <w:proofErr w:type="gramStart"/>
            <w:r w:rsidRPr="00013007">
              <w:rPr>
                <w:rFonts w:ascii="Times New Roman" w:hAnsi="Times New Roman"/>
              </w:rPr>
              <w:t>учитывающей</w:t>
            </w:r>
            <w:proofErr w:type="gramEnd"/>
            <w:r w:rsidRPr="00013007">
              <w:rPr>
                <w:rFonts w:ascii="Times New Roman" w:hAnsi="Times New Roman"/>
              </w:rPr>
              <w:t xml:space="preserve"> в том числе штрафы, наложенные на должностных лиц, индивидуальных предпринимателей, юридических лиц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В.3.3.17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общая сумма уплаченных (взысканных) административных штрафов, назначенных по результатам проведения плановых (рейдовых) осмотров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 xml:space="preserve">показатель устанавливается в </w:t>
            </w:r>
            <w:proofErr w:type="gramStart"/>
            <w:r w:rsidRPr="00013007">
              <w:rPr>
                <w:rFonts w:ascii="Times New Roman" w:hAnsi="Times New Roman"/>
              </w:rPr>
              <w:t>млн</w:t>
            </w:r>
            <w:proofErr w:type="gramEnd"/>
            <w:r w:rsidRPr="00013007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В.3.3.18</w:t>
            </w:r>
          </w:p>
        </w:tc>
        <w:tc>
          <w:tcPr>
            <w:tcW w:w="3453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отношение суммы взысканных административных штрафов к общей сумме наложенных административных штрафов по итогам плановых (рейдовых) осмотров</w:t>
            </w:r>
          </w:p>
        </w:tc>
        <w:tc>
          <w:tcPr>
            <w:tcW w:w="4082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013007">
              <w:rPr>
                <w:rFonts w:ascii="Times New Roman" w:hAnsi="Times New Roman"/>
              </w:rPr>
              <w:t>показатель устанавливается в процентах</w:t>
            </w:r>
          </w:p>
        </w:tc>
        <w:tc>
          <w:tcPr>
            <w:tcW w:w="737" w:type="dxa"/>
            <w:gridSpan w:val="2"/>
          </w:tcPr>
          <w:p w:rsidR="00013007" w:rsidRPr="00013007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rPr>
          <w:trHeight w:val="462"/>
        </w:trPr>
        <w:tc>
          <w:tcPr>
            <w:tcW w:w="1196" w:type="dxa"/>
          </w:tcPr>
          <w:p w:rsidR="00013007" w:rsidRPr="00DF7822" w:rsidRDefault="00013007" w:rsidP="00CC6E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F7822">
              <w:rPr>
                <w:rFonts w:ascii="Times New Roman" w:hAnsi="Times New Roman"/>
                <w:b/>
              </w:rPr>
              <w:t>В.3.5</w:t>
            </w:r>
          </w:p>
        </w:tc>
        <w:tc>
          <w:tcPr>
            <w:tcW w:w="14459" w:type="dxa"/>
            <w:gridSpan w:val="11"/>
          </w:tcPr>
          <w:p w:rsidR="00013007" w:rsidRPr="00DF7822" w:rsidRDefault="00013007" w:rsidP="00CC6E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F7822">
              <w:rPr>
                <w:rFonts w:ascii="Times New Roman" w:hAnsi="Times New Roman"/>
                <w:b/>
              </w:rPr>
              <w:t>административные расследования</w:t>
            </w:r>
          </w:p>
        </w:tc>
      </w:tr>
      <w:tr w:rsidR="00013007" w:rsidRPr="00013007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В.3.5.1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количество вынесенных определений о проведении административного расследования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показатели устанавливаются в соответствии с общим количеством вынесенных определений о проведении административного расследования</w:t>
            </w:r>
          </w:p>
        </w:tc>
        <w:tc>
          <w:tcPr>
            <w:tcW w:w="737" w:type="dxa"/>
            <w:gridSpan w:val="2"/>
          </w:tcPr>
          <w:p w:rsidR="00013007" w:rsidRPr="00CC6EC6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В.3.5.2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 xml:space="preserve">показатели устанавливаются по количеству административных наказаний (всего) и по видам наказаний (конфискация орудия совершения или предмета административного правонарушения, лишение специального права, предоставленного физическому лицу, административное </w:t>
            </w:r>
            <w:proofErr w:type="gramStart"/>
            <w:r w:rsidRPr="00CC6EC6">
              <w:rPr>
                <w:rFonts w:ascii="Times New Roman" w:hAnsi="Times New Roman"/>
              </w:rPr>
              <w:t>выдворение</w:t>
            </w:r>
            <w:proofErr w:type="gramEnd"/>
            <w:r w:rsidRPr="00CC6EC6">
              <w:rPr>
                <w:rFonts w:ascii="Times New Roman" w:hAnsi="Times New Roman"/>
              </w:rPr>
              <w:t xml:space="preserve"> за пределы Российской Федерации иностранного гражданина или лица без </w:t>
            </w:r>
            <w:r w:rsidRPr="00CC6EC6">
              <w:rPr>
                <w:rFonts w:ascii="Times New Roman" w:hAnsi="Times New Roman"/>
              </w:rPr>
              <w:lastRenderedPageBreak/>
              <w:t>гражданства, дисквалификация, административное приостановление деятельности, предупреждение, административный штраф)</w:t>
            </w:r>
          </w:p>
        </w:tc>
        <w:tc>
          <w:tcPr>
            <w:tcW w:w="737" w:type="dxa"/>
            <w:gridSpan w:val="2"/>
          </w:tcPr>
          <w:p w:rsidR="00013007" w:rsidRPr="00CC6EC6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lastRenderedPageBreak/>
              <w:t>В.3.5.3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 xml:space="preserve">показатель устанавливается в </w:t>
            </w:r>
            <w:proofErr w:type="gramStart"/>
            <w:r w:rsidRPr="00CC6EC6">
              <w:rPr>
                <w:rFonts w:ascii="Times New Roman" w:hAnsi="Times New Roman"/>
              </w:rPr>
              <w:t>млн</w:t>
            </w:r>
            <w:proofErr w:type="gramEnd"/>
            <w:r w:rsidRPr="00CC6EC6">
              <w:rPr>
                <w:rFonts w:ascii="Times New Roman" w:hAnsi="Times New Roman"/>
              </w:rPr>
              <w:t xml:space="preserve"> руб. и учитывает суммы наложенных административных штрафов, в том числе на должностных лиц, индивидуальных предпринимателей, юридических лиц, граждан</w:t>
            </w:r>
          </w:p>
        </w:tc>
        <w:tc>
          <w:tcPr>
            <w:tcW w:w="737" w:type="dxa"/>
            <w:gridSpan w:val="2"/>
          </w:tcPr>
          <w:p w:rsidR="00013007" w:rsidRPr="00CC6EC6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В.3.5.4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доля штрафов,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показатель устанавливается в процентах от общего количества наказаний, наложенных после проведения административного расследования</w:t>
            </w:r>
          </w:p>
        </w:tc>
        <w:tc>
          <w:tcPr>
            <w:tcW w:w="737" w:type="dxa"/>
            <w:gridSpan w:val="2"/>
          </w:tcPr>
          <w:p w:rsidR="00013007" w:rsidRPr="00CC6EC6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В.3.5.5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общая сумма уплаченных (взысканных) административных штрафов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показатель устанавливается в тыс. руб.</w:t>
            </w:r>
          </w:p>
        </w:tc>
        <w:tc>
          <w:tcPr>
            <w:tcW w:w="737" w:type="dxa"/>
            <w:gridSpan w:val="2"/>
          </w:tcPr>
          <w:p w:rsidR="00013007" w:rsidRPr="00CC6EC6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В.3.5.6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показатель устанавливается в процентах</w:t>
            </w:r>
          </w:p>
        </w:tc>
        <w:tc>
          <w:tcPr>
            <w:tcW w:w="737" w:type="dxa"/>
            <w:gridSpan w:val="2"/>
          </w:tcPr>
          <w:p w:rsidR="00013007" w:rsidRPr="00CC6EC6" w:rsidRDefault="00295119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013007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013007" w:rsidTr="00822058">
        <w:tc>
          <w:tcPr>
            <w:tcW w:w="1196" w:type="dxa"/>
          </w:tcPr>
          <w:p w:rsidR="00013007" w:rsidRPr="00CC6EC6" w:rsidRDefault="00013007" w:rsidP="00013007">
            <w:pPr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В.3.6</w:t>
            </w:r>
          </w:p>
        </w:tc>
        <w:tc>
          <w:tcPr>
            <w:tcW w:w="14459" w:type="dxa"/>
            <w:gridSpan w:val="11"/>
          </w:tcPr>
          <w:p w:rsidR="00013007" w:rsidRPr="00CC6EC6" w:rsidRDefault="00013007" w:rsidP="00013007">
            <w:pPr>
              <w:rPr>
                <w:rFonts w:ascii="Times New Roman" w:hAnsi="Times New Roman"/>
                <w:b/>
              </w:rPr>
            </w:pPr>
            <w:r w:rsidRPr="00CC6EC6">
              <w:rPr>
                <w:rFonts w:ascii="Times New Roman" w:hAnsi="Times New Roman"/>
                <w:b/>
              </w:rPr>
              <w:t>Производство по делам об административных правонарушениях</w:t>
            </w:r>
          </w:p>
        </w:tc>
      </w:tr>
      <w:tr w:rsidR="00013007" w:rsidRPr="00CC6EC6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В.3.6.1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количество протоколов об административных правонарушениях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 xml:space="preserve">показатели устанавливаются по количеству протоколов об административных правонарушениях (всего) и по различным основаниям (нарушение обязательных требований законодательства, несоответствие </w:t>
            </w:r>
            <w:r w:rsidRPr="00CC6EC6">
              <w:rPr>
                <w:rFonts w:ascii="Times New Roman" w:hAnsi="Times New Roman"/>
              </w:rPr>
              <w:lastRenderedPageBreak/>
              <w:t>сведений, содержащихся в уведомлении о начале осуществления отдельных видов предпринимательской деятельности, обязательным требованиям, невыполнение предписаний органов государственного контроля (надзора), муниципального контроля)</w:t>
            </w:r>
          </w:p>
        </w:tc>
        <w:tc>
          <w:tcPr>
            <w:tcW w:w="737" w:type="dxa"/>
            <w:gridSpan w:val="2"/>
          </w:tcPr>
          <w:p w:rsidR="00013007" w:rsidRPr="00CC6EC6" w:rsidRDefault="00DF7822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CC6EC6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lastRenderedPageBreak/>
              <w:t>В.3.6.2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показатели устанавливаются по количеству постановлений о прекращении производства по делу об административном правонарушении (всего) и по различным основаниям (нарушение обязательных требований законодательства,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невыполнение предписаний органов государственного контроля (надзора), муниципального контроля)</w:t>
            </w:r>
          </w:p>
        </w:tc>
        <w:tc>
          <w:tcPr>
            <w:tcW w:w="737" w:type="dxa"/>
            <w:gridSpan w:val="2"/>
          </w:tcPr>
          <w:p w:rsidR="00013007" w:rsidRPr="00CC6EC6" w:rsidRDefault="00DF7822" w:rsidP="00CC6EC6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6EC6">
              <w:rPr>
                <w:rFonts w:ascii="Times New Roman" w:hAnsi="Times New Roman"/>
              </w:rPr>
              <w:t>2 (ч.7 п. 1 ст. 24.5 КоАП РФ, ) п.2 ч.1.1 ст.29.9 КоАП РФ)</w:t>
            </w:r>
            <w:proofErr w:type="gramEnd"/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CC6EC6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В.3.6.3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 xml:space="preserve">показатели устанавливаются по количеству административных наказаний (всего) и по видам наказаний (конфискация орудия совершения или предмета административного правонарушения, лишение специального права, предоставленного физическому лицу, административное </w:t>
            </w:r>
            <w:proofErr w:type="gramStart"/>
            <w:r w:rsidRPr="00CC6EC6">
              <w:rPr>
                <w:rFonts w:ascii="Times New Roman" w:hAnsi="Times New Roman"/>
              </w:rPr>
              <w:t>выдворение</w:t>
            </w:r>
            <w:proofErr w:type="gramEnd"/>
            <w:r w:rsidRPr="00CC6EC6">
              <w:rPr>
                <w:rFonts w:ascii="Times New Roman" w:hAnsi="Times New Roman"/>
              </w:rPr>
              <w:t xml:space="preserve"> за пределы Российской Федерации иностранного гражданина или лица без гражданства, дисквалификация, административное приостановление деятельности, предупреждение, административный штраф)</w:t>
            </w:r>
          </w:p>
        </w:tc>
        <w:tc>
          <w:tcPr>
            <w:tcW w:w="737" w:type="dxa"/>
            <w:gridSpan w:val="2"/>
          </w:tcPr>
          <w:p w:rsidR="00013007" w:rsidRPr="00CC6EC6" w:rsidRDefault="0033087C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102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CC6EC6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lastRenderedPageBreak/>
              <w:t>В.3.6.4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количество административных наказаний, по которым административный штраф был заменен предупреждением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показатель отражает количество административных штрафов, наложенных на лиц, являющихся субъектами малого и среднего предпринимательства, осуществляющих предпринимательскую деятельность без образования юридического лица, и юридическими лицами, а также на их работников, замененных на предупреждение</w:t>
            </w:r>
          </w:p>
        </w:tc>
        <w:tc>
          <w:tcPr>
            <w:tcW w:w="737" w:type="dxa"/>
            <w:gridSpan w:val="2"/>
          </w:tcPr>
          <w:p w:rsidR="00013007" w:rsidRPr="00CC6EC6" w:rsidRDefault="00DF7822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CC6EC6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В.3.6.5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показатель устанавливается в млн</w:t>
            </w:r>
            <w:r w:rsidR="00CC763C">
              <w:rPr>
                <w:rFonts w:ascii="Times New Roman" w:hAnsi="Times New Roman"/>
              </w:rPr>
              <w:t>.</w:t>
            </w:r>
            <w:r w:rsidRPr="00CC6EC6">
              <w:rPr>
                <w:rFonts w:ascii="Times New Roman" w:hAnsi="Times New Roman"/>
              </w:rPr>
              <w:t xml:space="preserve"> руб. и учитывает суммы наложенных административных штрафов, в том числе на должностных лиц, индивидуальных предпринимателей, юридических лиц, граждан</w:t>
            </w:r>
          </w:p>
        </w:tc>
        <w:tc>
          <w:tcPr>
            <w:tcW w:w="737" w:type="dxa"/>
            <w:gridSpan w:val="2"/>
          </w:tcPr>
          <w:p w:rsidR="00013007" w:rsidRPr="00CC6EC6" w:rsidRDefault="00822058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2,8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CC6EC6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В.3.6.7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общая сумма уплаченных (взысканных) штрафов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показатель устанавливается в млн</w:t>
            </w:r>
            <w:r w:rsidR="00CC763C">
              <w:rPr>
                <w:rFonts w:ascii="Times New Roman" w:hAnsi="Times New Roman"/>
              </w:rPr>
              <w:t>.</w:t>
            </w:r>
            <w:r w:rsidRPr="00CC6EC6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737" w:type="dxa"/>
            <w:gridSpan w:val="2"/>
          </w:tcPr>
          <w:p w:rsidR="00013007" w:rsidRPr="00CC6EC6" w:rsidRDefault="00822058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2,01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3007" w:rsidRPr="00CC6EC6" w:rsidTr="00822058">
        <w:tc>
          <w:tcPr>
            <w:tcW w:w="11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В.3.6.8</w:t>
            </w:r>
          </w:p>
        </w:tc>
        <w:tc>
          <w:tcPr>
            <w:tcW w:w="3453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4082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показатель устанавливается в процентах</w:t>
            </w:r>
          </w:p>
        </w:tc>
        <w:tc>
          <w:tcPr>
            <w:tcW w:w="737" w:type="dxa"/>
            <w:gridSpan w:val="2"/>
          </w:tcPr>
          <w:p w:rsidR="00013007" w:rsidRPr="00CC6EC6" w:rsidRDefault="00822058" w:rsidP="00CC6EC6">
            <w:pPr>
              <w:spacing w:line="240" w:lineRule="auto"/>
              <w:rPr>
                <w:rFonts w:ascii="Times New Roman" w:hAnsi="Times New Roman"/>
              </w:rPr>
            </w:pPr>
            <w:r w:rsidRPr="00CC6EC6">
              <w:rPr>
                <w:rFonts w:ascii="Times New Roman" w:hAnsi="Times New Roman"/>
              </w:rPr>
              <w:t>71,7%</w:t>
            </w:r>
          </w:p>
        </w:tc>
        <w:tc>
          <w:tcPr>
            <w:tcW w:w="1077" w:type="dxa"/>
            <w:gridSpan w:val="2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13007" w:rsidRPr="00CC6EC6" w:rsidRDefault="00013007" w:rsidP="00CC6E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013007" w:rsidRPr="00CC6EC6" w:rsidRDefault="00013007" w:rsidP="00CC6EC6">
      <w:pPr>
        <w:spacing w:line="240" w:lineRule="auto"/>
        <w:rPr>
          <w:rFonts w:ascii="Times New Roman" w:hAnsi="Times New Roman"/>
        </w:rPr>
      </w:pPr>
    </w:p>
    <w:p w:rsidR="00013007" w:rsidRPr="00CC6EC6" w:rsidRDefault="00013007" w:rsidP="00CC6EC6">
      <w:pPr>
        <w:spacing w:line="240" w:lineRule="auto"/>
        <w:rPr>
          <w:rFonts w:ascii="Times New Roman" w:hAnsi="Times New Roman"/>
        </w:rPr>
      </w:pPr>
    </w:p>
    <w:p w:rsidR="00CC6EC6" w:rsidRDefault="009E67A2" w:rsidP="00CC6EC6">
      <w:pPr>
        <w:spacing w:after="0" w:line="240" w:lineRule="auto"/>
        <w:ind w:left="-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CC6EC6" w:rsidRPr="00CC6EC6">
        <w:rPr>
          <w:rFonts w:ascii="Times New Roman" w:eastAsia="Times New Roman" w:hAnsi="Times New Roman"/>
          <w:bCs/>
          <w:sz w:val="24"/>
          <w:szCs w:val="24"/>
        </w:rPr>
        <w:t>Начальник Управления ветеринарии</w:t>
      </w:r>
    </w:p>
    <w:p w:rsidR="00CC6EC6" w:rsidRPr="00CC6EC6" w:rsidRDefault="009E67A2" w:rsidP="00CC6EC6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CC6EC6">
        <w:rPr>
          <w:rFonts w:ascii="Times New Roman" w:eastAsia="Times New Roman" w:hAnsi="Times New Roman"/>
          <w:bCs/>
          <w:sz w:val="24"/>
          <w:szCs w:val="24"/>
        </w:rPr>
        <w:t>Ленинградской области</w:t>
      </w:r>
      <w:r w:rsidR="00CC6EC6" w:rsidRPr="00CC6EC6">
        <w:rPr>
          <w:rFonts w:ascii="Times New Roman" w:eastAsia="Times New Roman" w:hAnsi="Times New Roman"/>
          <w:bCs/>
          <w:sz w:val="24"/>
          <w:szCs w:val="24"/>
        </w:rPr>
        <w:t>–</w:t>
      </w:r>
    </w:p>
    <w:p w:rsidR="00CC6EC6" w:rsidRPr="00CC6EC6" w:rsidRDefault="009E67A2" w:rsidP="00CC6EC6">
      <w:pPr>
        <w:spacing w:after="0" w:line="240" w:lineRule="auto"/>
        <w:ind w:left="-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CC6EC6" w:rsidRPr="00CC6EC6">
        <w:rPr>
          <w:rFonts w:ascii="Times New Roman" w:eastAsia="Times New Roman" w:hAnsi="Times New Roman"/>
          <w:bCs/>
          <w:sz w:val="24"/>
          <w:szCs w:val="24"/>
        </w:rPr>
        <w:t>главный государственный ветеринарный</w:t>
      </w:r>
    </w:p>
    <w:p w:rsidR="00CC6EC6" w:rsidRPr="00CC6EC6" w:rsidRDefault="009E67A2" w:rsidP="00CC6EC6">
      <w:pPr>
        <w:spacing w:after="0" w:line="240" w:lineRule="auto"/>
        <w:ind w:left="-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CC6EC6" w:rsidRPr="00CC6EC6">
        <w:rPr>
          <w:rFonts w:ascii="Times New Roman" w:eastAsia="Times New Roman" w:hAnsi="Times New Roman"/>
          <w:bCs/>
          <w:sz w:val="24"/>
          <w:szCs w:val="24"/>
        </w:rPr>
        <w:t xml:space="preserve">инспектор Ленинградской области </w:t>
      </w:r>
      <w:r w:rsidR="00CC6EC6" w:rsidRPr="00CC6EC6">
        <w:rPr>
          <w:rFonts w:ascii="Times New Roman" w:eastAsia="Times New Roman" w:hAnsi="Times New Roman"/>
          <w:sz w:val="24"/>
          <w:szCs w:val="24"/>
        </w:rPr>
        <w:tab/>
      </w:r>
      <w:r w:rsidR="00CC6EC6" w:rsidRPr="00CC6EC6">
        <w:rPr>
          <w:rFonts w:ascii="Times New Roman" w:eastAsia="Times New Roman" w:hAnsi="Times New Roman"/>
          <w:sz w:val="24"/>
          <w:szCs w:val="24"/>
        </w:rPr>
        <w:tab/>
      </w:r>
      <w:r w:rsidR="00CC6EC6" w:rsidRPr="00CC6EC6">
        <w:rPr>
          <w:rFonts w:ascii="Times New Roman" w:eastAsia="Times New Roman" w:hAnsi="Times New Roman"/>
          <w:sz w:val="24"/>
          <w:szCs w:val="24"/>
        </w:rPr>
        <w:tab/>
      </w:r>
      <w:r w:rsidR="00CC6EC6" w:rsidRPr="00CC6EC6">
        <w:rPr>
          <w:rFonts w:ascii="Times New Roman" w:eastAsia="Times New Roman" w:hAnsi="Times New Roman"/>
          <w:sz w:val="24"/>
          <w:szCs w:val="24"/>
        </w:rPr>
        <w:tab/>
      </w:r>
      <w:r w:rsidR="00CC6EC6" w:rsidRPr="00CC6EC6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6EC6" w:rsidRPr="00CC6EC6">
        <w:rPr>
          <w:rFonts w:ascii="Times New Roman" w:eastAsia="Times New Roman" w:hAnsi="Times New Roman"/>
          <w:sz w:val="24"/>
          <w:szCs w:val="24"/>
        </w:rPr>
        <w:t xml:space="preserve">    </w:t>
      </w:r>
      <w:r w:rsidR="00CC6EC6" w:rsidRPr="00CC6EC6">
        <w:rPr>
          <w:rFonts w:ascii="Times New Roman" w:eastAsia="Times New Roman" w:hAnsi="Times New Roman"/>
          <w:bCs/>
          <w:sz w:val="24"/>
          <w:szCs w:val="24"/>
        </w:rPr>
        <w:t>И.Г. Идиатулин</w:t>
      </w:r>
    </w:p>
    <w:p w:rsidR="00CC6EC6" w:rsidRPr="00CC6EC6" w:rsidRDefault="00CC6EC6" w:rsidP="00CC6E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6EC6" w:rsidRPr="00CC6EC6" w:rsidRDefault="00CC6EC6" w:rsidP="00CC6E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6EC6" w:rsidRPr="00CC6EC6" w:rsidRDefault="009E67A2" w:rsidP="00CC6EC6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</w:t>
      </w:r>
      <w:r w:rsidR="00CC6EC6" w:rsidRPr="00CC6EC6">
        <w:rPr>
          <w:rFonts w:ascii="Times New Roman" w:eastAsia="Times New Roman" w:hAnsi="Times New Roman"/>
          <w:sz w:val="20"/>
          <w:szCs w:val="20"/>
        </w:rPr>
        <w:t>Казакова Л.Е.. (812) 611-44-24</w:t>
      </w:r>
    </w:p>
    <w:p w:rsidR="00013007" w:rsidRPr="00CC6EC6" w:rsidRDefault="00013007" w:rsidP="00CC6EC6">
      <w:pPr>
        <w:spacing w:line="240" w:lineRule="auto"/>
        <w:rPr>
          <w:rFonts w:ascii="Times New Roman" w:hAnsi="Times New Roman"/>
        </w:rPr>
      </w:pPr>
    </w:p>
    <w:p w:rsidR="00013007" w:rsidRPr="00CC6EC6" w:rsidRDefault="00013007" w:rsidP="00CC6EC6">
      <w:pPr>
        <w:spacing w:line="240" w:lineRule="auto"/>
        <w:rPr>
          <w:rFonts w:ascii="Times New Roman" w:hAnsi="Times New Roman"/>
        </w:rPr>
      </w:pPr>
    </w:p>
    <w:p w:rsidR="00013007" w:rsidRPr="00CC6EC6" w:rsidRDefault="00013007" w:rsidP="00CC6EC6">
      <w:pPr>
        <w:spacing w:line="240" w:lineRule="auto"/>
        <w:rPr>
          <w:rFonts w:ascii="Times New Roman" w:hAnsi="Times New Roman"/>
        </w:rPr>
      </w:pPr>
    </w:p>
    <w:sectPr w:rsidR="00013007" w:rsidRPr="00CC6EC6" w:rsidSect="00013007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33"/>
    <w:rsid w:val="00013007"/>
    <w:rsid w:val="00295119"/>
    <w:rsid w:val="002A25B9"/>
    <w:rsid w:val="003125E4"/>
    <w:rsid w:val="0033087C"/>
    <w:rsid w:val="003E4871"/>
    <w:rsid w:val="004F3B1C"/>
    <w:rsid w:val="00514DF9"/>
    <w:rsid w:val="00591396"/>
    <w:rsid w:val="00822058"/>
    <w:rsid w:val="008246CD"/>
    <w:rsid w:val="009E0EC2"/>
    <w:rsid w:val="009E67A2"/>
    <w:rsid w:val="00A03133"/>
    <w:rsid w:val="00A71F01"/>
    <w:rsid w:val="00B264AC"/>
    <w:rsid w:val="00CC6EC6"/>
    <w:rsid w:val="00CC763C"/>
    <w:rsid w:val="00D1188D"/>
    <w:rsid w:val="00DF7822"/>
    <w:rsid w:val="00E07796"/>
    <w:rsid w:val="00F368BB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8D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D1188D"/>
    <w:pPr>
      <w:spacing w:after="255" w:line="300" w:lineRule="atLeast"/>
      <w:outlineLvl w:val="1"/>
    </w:pPr>
    <w:rPr>
      <w:rFonts w:ascii="Times New Roman" w:eastAsia="Times New Roman" w:hAnsi="Times New Roman"/>
      <w:b/>
      <w:bCs/>
      <w:color w:val="4D4D4D"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1188D"/>
    <w:rPr>
      <w:rFonts w:ascii="Times New Roman" w:eastAsia="Times New Roman" w:hAnsi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link w:val="3"/>
    <w:uiPriority w:val="9"/>
    <w:semiHidden/>
    <w:rsid w:val="00D1188D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013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8D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D1188D"/>
    <w:pPr>
      <w:spacing w:after="255" w:line="300" w:lineRule="atLeast"/>
      <w:outlineLvl w:val="1"/>
    </w:pPr>
    <w:rPr>
      <w:rFonts w:ascii="Times New Roman" w:eastAsia="Times New Roman" w:hAnsi="Times New Roman"/>
      <w:b/>
      <w:bCs/>
      <w:color w:val="4D4D4D"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1188D"/>
    <w:rPr>
      <w:rFonts w:ascii="Times New Roman" w:eastAsia="Times New Roman" w:hAnsi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link w:val="3"/>
    <w:uiPriority w:val="9"/>
    <w:semiHidden/>
    <w:rsid w:val="00D1188D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013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15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Евгеньевна Казакова</dc:creator>
  <cp:keywords/>
  <dc:description/>
  <cp:lastModifiedBy>Луиза Евгеньевна Казакова</cp:lastModifiedBy>
  <cp:revision>12</cp:revision>
  <cp:lastPrinted>2019-01-17T08:22:00Z</cp:lastPrinted>
  <dcterms:created xsi:type="dcterms:W3CDTF">2019-01-16T14:20:00Z</dcterms:created>
  <dcterms:modified xsi:type="dcterms:W3CDTF">2019-02-04T08:10:00Z</dcterms:modified>
</cp:coreProperties>
</file>