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29.12.2023 N 985</w:t>
              <w:br/>
              <w:t xml:space="preserve">"О дополнительной мере социальной поддержки молодых специалистов в Ленинградской области и признании утратившими силу отдельных постановлений Правительства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2023 г. N 985</w:t>
      </w:r>
    </w:p>
    <w:p>
      <w:pPr>
        <w:pStyle w:val="2"/>
        <w:jc w:val="center"/>
      </w:pPr>
      <w:r>
        <w:rPr>
          <w:sz w:val="20"/>
        </w:rPr>
      </w:r>
    </w:p>
    <w:p>
      <w:pPr>
        <w:pStyle w:val="2"/>
        <w:jc w:val="center"/>
      </w:pPr>
      <w:r>
        <w:rPr>
          <w:sz w:val="20"/>
        </w:rPr>
        <w:t xml:space="preserve">О ДОПОЛНИТЕЛЬНОЙ МЕРЕ СОЦИАЛЬНОЙ ПОДДЕРЖКИ МОЛОДЫХ</w:t>
      </w:r>
    </w:p>
    <w:p>
      <w:pPr>
        <w:pStyle w:val="2"/>
        <w:jc w:val="center"/>
      </w:pPr>
      <w:r>
        <w:rPr>
          <w:sz w:val="20"/>
        </w:rPr>
        <w:t xml:space="preserve">СПЕЦИАЛИСТОВ В ЛЕНИНГРАДСКОЙ ОБЛАСТИ И ПРИЗНАНИИ</w:t>
      </w:r>
    </w:p>
    <w:p>
      <w:pPr>
        <w:pStyle w:val="2"/>
        <w:jc w:val="center"/>
      </w:pPr>
      <w:r>
        <w:rPr>
          <w:sz w:val="20"/>
        </w:rPr>
        <w:t xml:space="preserve">УТРАТИВШИМИ СИЛУ ОТДЕЛЬНЫХ ПОСТАНОВЛЕНИЙ</w:t>
      </w:r>
    </w:p>
    <w:p>
      <w:pPr>
        <w:pStyle w:val="2"/>
        <w:jc w:val="center"/>
      </w:pPr>
      <w:r>
        <w:rPr>
          <w:sz w:val="20"/>
        </w:rPr>
        <w:t xml:space="preserve">ПРАВИТЕЛЬСТВА ЛЕНИНГРАДСКОЙ ОБЛАСТИ</w:t>
      </w:r>
    </w:p>
    <w:p>
      <w:pPr>
        <w:pStyle w:val="0"/>
        <w:ind w:firstLine="54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Правительство Ленинградской области постановляет:</w:t>
      </w:r>
    </w:p>
    <w:p>
      <w:pPr>
        <w:pStyle w:val="0"/>
        <w:ind w:firstLine="540"/>
        <w:jc w:val="both"/>
      </w:pPr>
      <w:r>
        <w:rPr>
          <w:sz w:val="20"/>
        </w:rPr>
      </w:r>
    </w:p>
    <w:p>
      <w:pPr>
        <w:pStyle w:val="0"/>
        <w:ind w:firstLine="540"/>
        <w:jc w:val="both"/>
      </w:pPr>
      <w:r>
        <w:rPr>
          <w:sz w:val="20"/>
        </w:rPr>
        <w:t xml:space="preserve">1. Установить дополнительную меру социальной поддержки молодых специалистов в Ленинградской области в виде единовременной выплаты в размере 100000 рублей.</w:t>
      </w:r>
    </w:p>
    <w:p>
      <w:pPr>
        <w:pStyle w:val="0"/>
        <w:spacing w:before="200" w:line-rule="auto"/>
        <w:ind w:firstLine="540"/>
        <w:jc w:val="both"/>
      </w:pPr>
      <w:r>
        <w:rPr>
          <w:sz w:val="20"/>
        </w:rPr>
        <w:t xml:space="preserve">2. Утвердить:</w:t>
      </w:r>
    </w:p>
    <w:p>
      <w:pPr>
        <w:pStyle w:val="0"/>
        <w:spacing w:before="200" w:line-rule="auto"/>
        <w:ind w:firstLine="540"/>
        <w:jc w:val="both"/>
      </w:pPr>
      <w:hyperlink w:history="0" w:anchor="P37" w:tooltip="ПОРЯДОК">
        <w:r>
          <w:rPr>
            <w:sz w:val="20"/>
            <w:color w:val="0000ff"/>
          </w:rPr>
          <w:t xml:space="preserve">Порядок</w:t>
        </w:r>
      </w:hyperlink>
      <w:r>
        <w:rPr>
          <w:sz w:val="20"/>
        </w:rPr>
        <w:t xml:space="preserve"> предоставления дополнительной меры социальной поддержки молодых специалистов в Ленинградской области в виде единовременной выплаты согласно приложению 1;</w:t>
      </w:r>
    </w:p>
    <w:p>
      <w:pPr>
        <w:pStyle w:val="0"/>
        <w:spacing w:before="200" w:line-rule="auto"/>
        <w:ind w:firstLine="540"/>
        <w:jc w:val="both"/>
      </w:pPr>
      <w:r>
        <w:rPr>
          <w:sz w:val="20"/>
        </w:rPr>
        <w:t xml:space="preserve">форму </w:t>
      </w:r>
      <w:hyperlink w:history="0" w:anchor="P108" w:tooltip="ДОГОВОР">
        <w:r>
          <w:rPr>
            <w:sz w:val="20"/>
            <w:color w:val="0000ff"/>
          </w:rPr>
          <w:t xml:space="preserve">договора</w:t>
        </w:r>
      </w:hyperlink>
      <w:r>
        <w:rPr>
          <w:sz w:val="20"/>
        </w:rPr>
        <w:t xml:space="preserve"> о предоставлении социальной поддержки молодому специалисту согласно приложению 2.</w:t>
      </w:r>
    </w:p>
    <w:p>
      <w:pPr>
        <w:pStyle w:val="0"/>
        <w:spacing w:before="200" w:line-rule="auto"/>
        <w:ind w:firstLine="540"/>
        <w:jc w:val="both"/>
      </w:pPr>
      <w:r>
        <w:rPr>
          <w:sz w:val="20"/>
        </w:rPr>
        <w:t xml:space="preserve">3. Признать утратившими силу полностью или частично постановления Правительства Ленинградской области согласно </w:t>
      </w:r>
      <w:hyperlink w:history="0" w:anchor="P270" w:tooltip="ПЕРЕЧЕНЬ">
        <w:r>
          <w:rPr>
            <w:sz w:val="20"/>
            <w:color w:val="0000ff"/>
          </w:rPr>
          <w:t xml:space="preserve">приложению 3</w:t>
        </w:r>
      </w:hyperlink>
      <w:r>
        <w:rPr>
          <w:sz w:val="20"/>
        </w:rPr>
        <w:t xml:space="preserve">.</w:t>
      </w:r>
    </w:p>
    <w:bookmarkStart w:id="18" w:name="P18"/>
    <w:bookmarkEnd w:id="18"/>
    <w:p>
      <w:pPr>
        <w:pStyle w:val="0"/>
        <w:spacing w:before="200" w:line-rule="auto"/>
        <w:ind w:firstLine="540"/>
        <w:jc w:val="both"/>
      </w:pPr>
      <w:r>
        <w:rPr>
          <w:sz w:val="20"/>
        </w:rPr>
        <w:t xml:space="preserve">4. Установить, что договоры о предоставлении социальной поддержки молодому специалисту, заключенные в порядке, установленном постановлениями Правительства Ленинградской области от 28 декабря 2007 года </w:t>
      </w:r>
      <w:hyperlink w:history="0" r:id="rId8" w:tooltip="Постановление Правительства Ленинградской области от 28.12.2007 N 339 (ред. от 19.07.2022) &quot;О социальной поддержке молодых специалистов в Ленинградской области&quot; ------------ Утратил силу или отменен {КонсультантПлюс}">
        <w:r>
          <w:rPr>
            <w:sz w:val="20"/>
            <w:color w:val="0000ff"/>
          </w:rPr>
          <w:t xml:space="preserve">N 339</w:t>
        </w:r>
      </w:hyperlink>
      <w:r>
        <w:rPr>
          <w:sz w:val="20"/>
        </w:rPr>
        <w:t xml:space="preserve"> "О социальной поддержке молодых специалистов в Ленинградской области" и от 7 апреля 2008 года </w:t>
      </w:r>
      <w:hyperlink w:history="0" r:id="rId9" w:tooltip="Постановление Правительства Ленинградской области от 07.04.2008 N 71 (ред. от 10.11.2023) &quot;Об утверждении Положения о порядке осуществления мер социальной поддержки молодых специалистов в Ленинградской области&quot; ------------ Утратил силу или отменен {КонсультантПлюс}">
        <w:r>
          <w:rPr>
            <w:sz w:val="20"/>
            <w:color w:val="0000ff"/>
          </w:rPr>
          <w:t xml:space="preserve">N 71</w:t>
        </w:r>
      </w:hyperlink>
      <w:r>
        <w:rPr>
          <w:sz w:val="20"/>
        </w:rPr>
        <w:t xml:space="preserve"> "Об утверждении Положения о порядке осуществления мер социальной поддержки молодых специалистов в Ленинградской области", сохраняют свою силу до окончания срока действия таких договоров.</w:t>
      </w:r>
    </w:p>
    <w:p>
      <w:pPr>
        <w:pStyle w:val="0"/>
        <w:spacing w:before="200" w:line-rule="auto"/>
        <w:ind w:firstLine="540"/>
        <w:jc w:val="both"/>
      </w:pPr>
      <w:r>
        <w:rPr>
          <w:sz w:val="20"/>
        </w:rPr>
        <w:t xml:space="preserve">5. Органам исполнительной власти Ленинградской области в срок до 1 марта 2024 года организовать заключение дополнительных соглашений к договорам о предоставлении социальной поддержки молодому специалисту, указанным в </w:t>
      </w:r>
      <w:hyperlink w:history="0" w:anchor="P18" w:tooltip="4. Установить, что договоры о предоставлении социальной поддержки молодому специалисту, заключенные в порядке, установленном постановлениями Правительства Ленинградской области от 28 декабря 2007 года N 339 &quot;О социальной поддержке молодых специалистов в Ленинградской области&quot; и от 7 апреля 2008 года N 71 &quot;Об утверждении Положения о порядке осуществления мер социальной поддержки молодых специалистов в Ленинградской области&quot;, сохраняют свою силу до окончания срока действия таких договоров.">
        <w:r>
          <w:rPr>
            <w:sz w:val="20"/>
            <w:color w:val="0000ff"/>
          </w:rPr>
          <w:t xml:space="preserve">пункте 4</w:t>
        </w:r>
      </w:hyperlink>
      <w:r>
        <w:rPr>
          <w:sz w:val="20"/>
        </w:rPr>
        <w:t xml:space="preserve"> настоящего постановления, в части увеличения размера единовременной выплаты, перечисляемой после 1 января 2024 года, с 56500 рублей до 100000 рублей.</w:t>
      </w:r>
    </w:p>
    <w:p>
      <w:pPr>
        <w:pStyle w:val="0"/>
        <w:spacing w:before="200" w:line-rule="auto"/>
        <w:ind w:firstLine="540"/>
        <w:jc w:val="both"/>
      </w:pPr>
      <w:r>
        <w:rPr>
          <w:sz w:val="20"/>
        </w:rPr>
        <w:t xml:space="preserve">6. Контроль за исполнением постановления возложить на заместителя Председателя Правительства Ленинградской области по социальным вопросам.</w:t>
      </w:r>
    </w:p>
    <w:p>
      <w:pPr>
        <w:pStyle w:val="0"/>
        <w:spacing w:before="200" w:line-rule="auto"/>
        <w:ind w:firstLine="540"/>
        <w:jc w:val="both"/>
      </w:pPr>
      <w:r>
        <w:rPr>
          <w:sz w:val="20"/>
        </w:rPr>
        <w:t xml:space="preserve">7. Настоящее постановление вступает в силу с 1 января 2024 года.</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29.12.2023 N 985</w:t>
      </w:r>
    </w:p>
    <w:p>
      <w:pPr>
        <w:pStyle w:val="0"/>
        <w:jc w:val="right"/>
      </w:pPr>
      <w:r>
        <w:rPr>
          <w:sz w:val="20"/>
        </w:rPr>
        <w:t xml:space="preserve">(приложение 1)</w:t>
      </w:r>
    </w:p>
    <w:p>
      <w:pPr>
        <w:pStyle w:val="0"/>
        <w:jc w:val="right"/>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МОЛОДЫХ СПЕЦИАЛИСТОВ В ЛЕНИНГРАДСКОЙ ОБЛАСТИ В ВИДЕ</w:t>
      </w:r>
    </w:p>
    <w:p>
      <w:pPr>
        <w:pStyle w:val="2"/>
        <w:jc w:val="center"/>
      </w:pPr>
      <w:r>
        <w:rPr>
          <w:sz w:val="20"/>
        </w:rPr>
        <w:t xml:space="preserve">ЕДИНОВРЕМЕННОЙ ВЫПЛАТЫ</w:t>
      </w:r>
    </w:p>
    <w:p>
      <w:pPr>
        <w:pStyle w:val="0"/>
        <w:ind w:firstLine="540"/>
        <w:jc w:val="both"/>
      </w:pPr>
      <w:r>
        <w:rPr>
          <w:sz w:val="20"/>
        </w:rPr>
      </w:r>
    </w:p>
    <w:p>
      <w:pPr>
        <w:pStyle w:val="0"/>
        <w:ind w:firstLine="540"/>
        <w:jc w:val="both"/>
      </w:pPr>
      <w:r>
        <w:rPr>
          <w:sz w:val="20"/>
        </w:rPr>
        <w:t xml:space="preserve">1. Настоящий Порядок определяет основания, условия и механизм предоставления дополнительной меры социальной поддержки молодых специалистов в Ленинградской области в виде единовременной выплаты в размере 100000 рублей.</w:t>
      </w:r>
    </w:p>
    <w:p>
      <w:pPr>
        <w:pStyle w:val="0"/>
        <w:spacing w:before="200" w:line-rule="auto"/>
        <w:ind w:firstLine="540"/>
        <w:jc w:val="both"/>
      </w:pPr>
      <w:r>
        <w:rPr>
          <w:sz w:val="20"/>
        </w:rPr>
        <w:t xml:space="preserve">2. Для целей настоящего Порядка применяются следующие понятия:</w:t>
      </w:r>
    </w:p>
    <w:p>
      <w:pPr>
        <w:pStyle w:val="0"/>
        <w:spacing w:before="200" w:line-rule="auto"/>
        <w:ind w:firstLine="540"/>
        <w:jc w:val="both"/>
      </w:pPr>
      <w:r>
        <w:rPr>
          <w:sz w:val="20"/>
        </w:rPr>
        <w:t xml:space="preserve">комитет - отраслевой орган исполнительной власти Ленинградской области, реализующий функции главного распорядителя средств областного бюджета Ленинградской области и осуществляющий на территории Ленинградской области в пределах своих полномочий государственное управление в соответствующей отрасли;</w:t>
      </w:r>
    </w:p>
    <w:bookmarkStart w:id="45" w:name="P45"/>
    <w:bookmarkEnd w:id="45"/>
    <w:p>
      <w:pPr>
        <w:pStyle w:val="0"/>
        <w:spacing w:before="200" w:line-rule="auto"/>
        <w:ind w:firstLine="540"/>
        <w:jc w:val="both"/>
      </w:pPr>
      <w:r>
        <w:rPr>
          <w:sz w:val="20"/>
        </w:rPr>
        <w:t xml:space="preserve">учреждение - государственное (муниципальное) учреждение Ленинградской области или подведомственная федеральным органам исполнительной власти медицинская организация, участвующая в реализации Территориальной программы государственных гарантий бесплатного оказания гражданам медицинской помощи в Ленинградской области и имеющая прикрепленное население, с которым (которой) молодой специалист заключил договор о предоставлении социальной поддержки молодому специалисту;</w:t>
      </w:r>
    </w:p>
    <w:p>
      <w:pPr>
        <w:pStyle w:val="0"/>
        <w:spacing w:before="200" w:line-rule="auto"/>
        <w:ind w:firstLine="540"/>
        <w:jc w:val="both"/>
      </w:pPr>
      <w:r>
        <w:rPr>
          <w:sz w:val="20"/>
        </w:rPr>
        <w:t xml:space="preserve">договор о предоставлении социальной поддержки молодому специалисту - договор о предоставлении дополнительной меры социальной поддержки в виде единовременной выплаты из областного бюджета Ленинградской области в размере 100000 рублей молодому специалисту, заключенный между молодым специалистом, учреждением и комитетом по форме, утвержденной постановлением Правительства Ленинградской области (далее - договор о социальной поддержке);</w:t>
      </w:r>
    </w:p>
    <w:p>
      <w:pPr>
        <w:pStyle w:val="0"/>
        <w:spacing w:before="200" w:line-rule="auto"/>
        <w:ind w:firstLine="540"/>
        <w:jc w:val="both"/>
      </w:pPr>
      <w:r>
        <w:rPr>
          <w:sz w:val="20"/>
        </w:rPr>
        <w:t xml:space="preserve">документ об образовании - документ государственного образца о среднем профессиональном образовании или о высшем образовании (высшем профессиональном образовании), выданный после 1 января 2008 года;</w:t>
      </w:r>
    </w:p>
    <w:bookmarkStart w:id="48" w:name="P48"/>
    <w:bookmarkEnd w:id="48"/>
    <w:p>
      <w:pPr>
        <w:pStyle w:val="0"/>
        <w:spacing w:before="200" w:line-rule="auto"/>
        <w:ind w:firstLine="540"/>
        <w:jc w:val="both"/>
      </w:pPr>
      <w:r>
        <w:rPr>
          <w:sz w:val="20"/>
        </w:rPr>
        <w:t xml:space="preserve">молодой специалист - гражданин Российской Федерации в возрасте до 35 лет включительно, заключивший трудовой договор с учреждением и имеющий документ об образовании;</w:t>
      </w:r>
    </w:p>
    <w:p>
      <w:pPr>
        <w:pStyle w:val="0"/>
        <w:spacing w:before="200" w:line-rule="auto"/>
        <w:ind w:firstLine="540"/>
        <w:jc w:val="both"/>
      </w:pPr>
      <w:r>
        <w:rPr>
          <w:sz w:val="20"/>
        </w:rPr>
        <w:t xml:space="preserve">пособие - единовременная выплата, ежегодно выплачиваемая из областного бюджета Ленинградской области молодому специалисту, заключившему договор о социальной поддержке;</w:t>
      </w:r>
    </w:p>
    <w:p>
      <w:pPr>
        <w:pStyle w:val="0"/>
        <w:spacing w:before="200" w:line-rule="auto"/>
        <w:ind w:firstLine="540"/>
        <w:jc w:val="both"/>
      </w:pPr>
      <w:r>
        <w:rPr>
          <w:sz w:val="20"/>
        </w:rPr>
        <w:t xml:space="preserve">трудовой договор - трудовой договор, заключенный между молодым специалистом и учреждением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w:t>
      </w:r>
    </w:p>
    <w:p>
      <w:pPr>
        <w:pStyle w:val="0"/>
        <w:spacing w:before="200" w:line-rule="auto"/>
        <w:ind w:firstLine="540"/>
        <w:jc w:val="both"/>
      </w:pPr>
      <w:r>
        <w:rPr>
          <w:sz w:val="20"/>
        </w:rPr>
        <w:t xml:space="preserve">3. Возраст и гражданство молодого специалиста, а также наличие у него документа об образовании определяются на дату заключения договора о социальной поддержке.</w:t>
      </w:r>
    </w:p>
    <w:p>
      <w:pPr>
        <w:pStyle w:val="0"/>
        <w:spacing w:before="200" w:line-rule="auto"/>
        <w:ind w:firstLine="540"/>
        <w:jc w:val="both"/>
      </w:pPr>
      <w:r>
        <w:rPr>
          <w:sz w:val="20"/>
        </w:rPr>
        <w:t xml:space="preserve">4. Учреждение в срок не позднее шести месяцев с даты заключения трудового договора с молодым специалистом письменно уведомляет молодого специалиста о возможности предоставления дополнительной меры социальной поддержки в соответствии с настоящим Порядком.</w:t>
      </w:r>
    </w:p>
    <w:bookmarkStart w:id="53" w:name="P53"/>
    <w:bookmarkEnd w:id="53"/>
    <w:p>
      <w:pPr>
        <w:pStyle w:val="0"/>
        <w:spacing w:before="200" w:line-rule="auto"/>
        <w:ind w:firstLine="540"/>
        <w:jc w:val="both"/>
      </w:pPr>
      <w:r>
        <w:rPr>
          <w:sz w:val="20"/>
        </w:rPr>
        <w:t xml:space="preserve">5. Для получения дополнительной меры социальной поддержки молодой специалист в срок не позднее чем за один календарный месяц до истечения первого года его работы, исчисленного с учетом </w:t>
      </w:r>
      <w:hyperlink w:history="0" w:anchor="P90" w:tooltip="18. В год работы, за который предоставляется пособие, не включаются:">
        <w:r>
          <w:rPr>
            <w:sz w:val="20"/>
            <w:color w:val="0000ff"/>
          </w:rPr>
          <w:t xml:space="preserve">пункта 18</w:t>
        </w:r>
      </w:hyperlink>
      <w:r>
        <w:rPr>
          <w:sz w:val="20"/>
        </w:rPr>
        <w:t xml:space="preserve"> настоящего Порядка, представляет в учреждение, в котором он осуществляет трудовую деятельность, следующие документы:</w:t>
      </w:r>
    </w:p>
    <w:p>
      <w:pPr>
        <w:pStyle w:val="0"/>
        <w:spacing w:before="200" w:line-rule="auto"/>
        <w:ind w:firstLine="540"/>
        <w:jc w:val="both"/>
      </w:pPr>
      <w:r>
        <w:rPr>
          <w:sz w:val="20"/>
        </w:rPr>
        <w:t xml:space="preserve">заявление о предоставлении дополнительной меры социальной поддержки;</w:t>
      </w:r>
    </w:p>
    <w:p>
      <w:pPr>
        <w:pStyle w:val="0"/>
        <w:spacing w:before="200" w:line-rule="auto"/>
        <w:ind w:firstLine="540"/>
        <w:jc w:val="both"/>
      </w:pPr>
      <w:r>
        <w:rPr>
          <w:sz w:val="20"/>
        </w:rPr>
        <w:t xml:space="preserve">согласие на обработку персональных данных;</w:t>
      </w:r>
    </w:p>
    <w:p>
      <w:pPr>
        <w:pStyle w:val="0"/>
        <w:spacing w:before="200" w:line-rule="auto"/>
        <w:ind w:firstLine="540"/>
        <w:jc w:val="both"/>
      </w:pPr>
      <w:r>
        <w:rPr>
          <w:sz w:val="20"/>
        </w:rPr>
        <w:t xml:space="preserve">документ об образовании;</w:t>
      </w:r>
    </w:p>
    <w:p>
      <w:pPr>
        <w:pStyle w:val="0"/>
        <w:spacing w:before="200" w:line-rule="auto"/>
        <w:ind w:firstLine="540"/>
        <w:jc w:val="both"/>
      </w:pPr>
      <w:r>
        <w:rPr>
          <w:sz w:val="20"/>
        </w:rPr>
        <w:t xml:space="preserve">паспорт гражданина Российской Федерации;</w:t>
      </w:r>
    </w:p>
    <w:p>
      <w:pPr>
        <w:pStyle w:val="0"/>
        <w:spacing w:before="200" w:line-rule="auto"/>
        <w:ind w:firstLine="540"/>
        <w:jc w:val="both"/>
      </w:pPr>
      <w:r>
        <w:rPr>
          <w:sz w:val="20"/>
        </w:rPr>
        <w:t xml:space="preserve">реквизиты банковского счета для перечисления пособия;</w:t>
      </w:r>
    </w:p>
    <w:p>
      <w:pPr>
        <w:pStyle w:val="0"/>
        <w:spacing w:before="200" w:line-rule="auto"/>
        <w:ind w:firstLine="540"/>
        <w:jc w:val="both"/>
      </w:pPr>
      <w:r>
        <w:rPr>
          <w:sz w:val="20"/>
        </w:rPr>
        <w:t xml:space="preserve">свидетельство о постановке на учет физического лица в налоговом органе на территории Российской Федерации.</w:t>
      </w:r>
    </w:p>
    <w:p>
      <w:pPr>
        <w:pStyle w:val="0"/>
        <w:spacing w:before="200" w:line-rule="auto"/>
        <w:ind w:firstLine="540"/>
        <w:jc w:val="both"/>
      </w:pPr>
      <w:r>
        <w:rPr>
          <w:sz w:val="20"/>
        </w:rPr>
        <w:t xml:space="preserve">Молодой специалист несет ответственность за достоверность представленных документов.</w:t>
      </w:r>
    </w:p>
    <w:p>
      <w:pPr>
        <w:pStyle w:val="0"/>
        <w:spacing w:before="200" w:line-rule="auto"/>
        <w:ind w:firstLine="540"/>
        <w:jc w:val="both"/>
      </w:pPr>
      <w:r>
        <w:rPr>
          <w:sz w:val="20"/>
        </w:rPr>
        <w:t xml:space="preserve">Сотрудник учреждения, осуществляющий прием документов, указанных в настоящем пункте, заверяет копии документов и возвращает оригиналы документов молодому специалисту.</w:t>
      </w:r>
    </w:p>
    <w:p>
      <w:pPr>
        <w:pStyle w:val="0"/>
        <w:spacing w:before="200" w:line-rule="auto"/>
        <w:ind w:firstLine="540"/>
        <w:jc w:val="both"/>
      </w:pPr>
      <w:r>
        <w:rPr>
          <w:sz w:val="20"/>
        </w:rPr>
        <w:t xml:space="preserve">6. В течение трех рабочих дней с даты представления молодым специалистом документов, указанных в </w:t>
      </w:r>
      <w:hyperlink w:history="0" w:anchor="P53" w:tooltip="5. Для получения дополнительной меры социальной поддержки молодой специалист в срок не позднее чем за один календарный месяц до истечения первого года его работы, исчисленного с учетом пункта 18 настоящего Порядка, представляет в учреждение, в котором он осуществляет трудовую деятельность, следующие документы:">
        <w:r>
          <w:rPr>
            <w:sz w:val="20"/>
            <w:color w:val="0000ff"/>
          </w:rPr>
          <w:t xml:space="preserve">пункте 5</w:t>
        </w:r>
      </w:hyperlink>
      <w:r>
        <w:rPr>
          <w:sz w:val="20"/>
        </w:rPr>
        <w:t xml:space="preserve"> настоящего Порядка, учреждение оформляет проект договора о социальной поддержке.</w:t>
      </w:r>
    </w:p>
    <w:bookmarkStart w:id="63" w:name="P63"/>
    <w:bookmarkEnd w:id="63"/>
    <w:p>
      <w:pPr>
        <w:pStyle w:val="0"/>
        <w:spacing w:before="200" w:line-rule="auto"/>
        <w:ind w:firstLine="540"/>
        <w:jc w:val="both"/>
      </w:pPr>
      <w:r>
        <w:rPr>
          <w:sz w:val="20"/>
        </w:rPr>
        <w:t xml:space="preserve">7. На основании документов, представленных молодым специалистом в соответствии с </w:t>
      </w:r>
      <w:hyperlink w:history="0" w:anchor="P53" w:tooltip="5. Для получения дополнительной меры социальной поддержки молодой специалист в срок не позднее чем за один календарный месяц до истечения первого года его работы, исчисленного с учетом пункта 18 настоящего Порядка, представляет в учреждение, в котором он осуществляет трудовую деятельность, следующие документы:">
        <w:r>
          <w:rPr>
            <w:sz w:val="20"/>
            <w:color w:val="0000ff"/>
          </w:rPr>
          <w:t xml:space="preserve">пунктом 5</w:t>
        </w:r>
      </w:hyperlink>
      <w:r>
        <w:rPr>
          <w:sz w:val="20"/>
        </w:rPr>
        <w:t xml:space="preserve"> настоящего Порядка, учреждение в срок не позднее чем за 15 рабочих дней до истечения первого года работы молодого специалиста, исчисленного с учетом </w:t>
      </w:r>
      <w:hyperlink w:history="0" w:anchor="P90" w:tooltip="18. В год работы, за который предоставляется пособие, не включаются:">
        <w:r>
          <w:rPr>
            <w:sz w:val="20"/>
            <w:color w:val="0000ff"/>
          </w:rPr>
          <w:t xml:space="preserve">пункта 18</w:t>
        </w:r>
      </w:hyperlink>
      <w:r>
        <w:rPr>
          <w:sz w:val="20"/>
        </w:rPr>
        <w:t xml:space="preserve"> настоящего Порядка, направляет в комитет с сопроводительным письмом проект договора о социальной поддержке в трех экземплярах, подписанный руководителем учреждения и молодым специалистом.</w:t>
      </w:r>
    </w:p>
    <w:p>
      <w:pPr>
        <w:pStyle w:val="0"/>
        <w:spacing w:before="200" w:line-rule="auto"/>
        <w:ind w:firstLine="540"/>
        <w:jc w:val="both"/>
      </w:pPr>
      <w:r>
        <w:rPr>
          <w:sz w:val="20"/>
        </w:rPr>
        <w:t xml:space="preserve">К проекту договора о социальной поддержке прилагаются:</w:t>
      </w:r>
    </w:p>
    <w:p>
      <w:pPr>
        <w:pStyle w:val="0"/>
        <w:spacing w:before="200" w:line-rule="auto"/>
        <w:ind w:firstLine="540"/>
        <w:jc w:val="both"/>
      </w:pPr>
      <w:r>
        <w:rPr>
          <w:sz w:val="20"/>
        </w:rPr>
        <w:t xml:space="preserve">заверенная учреждением копия трудового договора молодого специалиста;</w:t>
      </w:r>
    </w:p>
    <w:p>
      <w:pPr>
        <w:pStyle w:val="0"/>
        <w:spacing w:before="200" w:line-rule="auto"/>
        <w:ind w:firstLine="540"/>
        <w:jc w:val="both"/>
      </w:pPr>
      <w:r>
        <w:rPr>
          <w:sz w:val="20"/>
        </w:rPr>
        <w:t xml:space="preserve">выписка из Единого государственного реестра юридических лиц, выданная учреждению не позднее чем за 30 рабочих дней до даты заключения договора о социальной поддержке;</w:t>
      </w:r>
    </w:p>
    <w:p>
      <w:pPr>
        <w:pStyle w:val="0"/>
        <w:spacing w:before="200" w:line-rule="auto"/>
        <w:ind w:firstLine="540"/>
        <w:jc w:val="both"/>
      </w:pPr>
      <w:r>
        <w:rPr>
          <w:sz w:val="20"/>
        </w:rPr>
        <w:t xml:space="preserve">заверенная учреждением копия устава учреждения;</w:t>
      </w:r>
    </w:p>
    <w:p>
      <w:pPr>
        <w:pStyle w:val="0"/>
        <w:spacing w:before="200" w:line-rule="auto"/>
        <w:ind w:firstLine="540"/>
        <w:jc w:val="both"/>
      </w:pPr>
      <w:r>
        <w:rPr>
          <w:sz w:val="20"/>
        </w:rPr>
        <w:t xml:space="preserve">заверенная учреждением копия трудовой книжки и(или) сведения о трудовой деятельности молодого специалиста, представляемые из информационных ресурсов Фонда пенсионного и социального страхования Российской Федерации, по форме СТД-СФР;</w:t>
      </w:r>
    </w:p>
    <w:p>
      <w:pPr>
        <w:pStyle w:val="0"/>
        <w:spacing w:before="200" w:line-rule="auto"/>
        <w:ind w:firstLine="540"/>
        <w:jc w:val="both"/>
      </w:pPr>
      <w:r>
        <w:rPr>
          <w:sz w:val="20"/>
        </w:rPr>
        <w:t xml:space="preserve">заверенные учреждением копии документов, указанных в </w:t>
      </w:r>
      <w:hyperlink w:history="0" w:anchor="P53" w:tooltip="5. Для получения дополнительной меры социальной поддержки молодой специалист в срок не позднее чем за один календарный месяц до истечения первого года его работы, исчисленного с учетом пункта 18 настоящего Порядка, представляет в учреждение, в котором он осуществляет трудовую деятельность, следующие документы:">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В случае если в течение первого года работы молодого специалиста имели место периоды, указанные в </w:t>
      </w:r>
      <w:hyperlink w:history="0" w:anchor="P90" w:tooltip="18. В год работы, за который предоставляется пособие, не включаются:">
        <w:r>
          <w:rPr>
            <w:sz w:val="20"/>
            <w:color w:val="0000ff"/>
          </w:rPr>
          <w:t xml:space="preserve">пункте 18</w:t>
        </w:r>
      </w:hyperlink>
      <w:r>
        <w:rPr>
          <w:sz w:val="20"/>
        </w:rPr>
        <w:t xml:space="preserve"> настоящего Порядка, к сопроводительному письму также прилагаются заверенные копии документов, подтверждающих наличие таких периодов.</w:t>
      </w:r>
    </w:p>
    <w:bookmarkStart w:id="71" w:name="P71"/>
    <w:bookmarkEnd w:id="71"/>
    <w:p>
      <w:pPr>
        <w:pStyle w:val="0"/>
        <w:spacing w:before="200" w:line-rule="auto"/>
        <w:ind w:firstLine="540"/>
        <w:jc w:val="both"/>
      </w:pPr>
      <w:r>
        <w:rPr>
          <w:sz w:val="20"/>
        </w:rPr>
        <w:t xml:space="preserve">8. Комитет в течение пяти рабочих дней с даты поступления от учреждения проекта договора о социальной поддержке и прилагаемых к нему документов принимает решение о предоставлении дополнительной меры социальной поддержки либо об отказе в предоставлении дополнительной меры социальной поддержки.</w:t>
      </w:r>
    </w:p>
    <w:p>
      <w:pPr>
        <w:pStyle w:val="0"/>
        <w:spacing w:before="200" w:line-rule="auto"/>
        <w:ind w:firstLine="540"/>
        <w:jc w:val="both"/>
      </w:pPr>
      <w:r>
        <w:rPr>
          <w:sz w:val="20"/>
        </w:rPr>
        <w:t xml:space="preserve">Решение о предоставлении (отказе в предоставлении) дополнительной меры социальной поддержки оформляется правовым актом комитета.</w:t>
      </w:r>
    </w:p>
    <w:p>
      <w:pPr>
        <w:pStyle w:val="0"/>
        <w:spacing w:before="200" w:line-rule="auto"/>
        <w:ind w:firstLine="540"/>
        <w:jc w:val="both"/>
      </w:pPr>
      <w:r>
        <w:rPr>
          <w:sz w:val="20"/>
        </w:rPr>
        <w:t xml:space="preserve">9. В случае принятия решения о предоставлении дополнительной меры социальной поддержки комитет подписывает договор о социальной поддержке и направляет два экземпляра учреждению в течение 15 рабочих дней с даты поступления в комитет проекта договора о социальной поддержке.</w:t>
      </w:r>
    </w:p>
    <w:p>
      <w:pPr>
        <w:pStyle w:val="0"/>
        <w:spacing w:before="200" w:line-rule="auto"/>
        <w:ind w:firstLine="540"/>
        <w:jc w:val="both"/>
      </w:pPr>
      <w:r>
        <w:rPr>
          <w:sz w:val="20"/>
        </w:rPr>
        <w:t xml:space="preserve">10. Основаниями для отказа в предоставлении дополнительной меры социальной поддержки являются следующие случаи:</w:t>
      </w:r>
    </w:p>
    <w:p>
      <w:pPr>
        <w:pStyle w:val="0"/>
        <w:spacing w:before="200" w:line-rule="auto"/>
        <w:ind w:firstLine="540"/>
        <w:jc w:val="both"/>
      </w:pPr>
      <w:r>
        <w:rPr>
          <w:sz w:val="20"/>
        </w:rPr>
        <w:t xml:space="preserve">1) проект договора о социальной поддержке не соответствует установленной форме и(или) не подписан руководителем учреждения и(или) молодым специалистом;</w:t>
      </w:r>
    </w:p>
    <w:p>
      <w:pPr>
        <w:pStyle w:val="0"/>
        <w:spacing w:before="200" w:line-rule="auto"/>
        <w:ind w:firstLine="540"/>
        <w:jc w:val="both"/>
      </w:pPr>
      <w:r>
        <w:rPr>
          <w:sz w:val="20"/>
        </w:rPr>
        <w:t xml:space="preserve">2) к проекту договора о социальной поддержке не приложены документы, указанные в </w:t>
      </w:r>
      <w:hyperlink w:history="0" w:anchor="P63" w:tooltip="7. На основании документов, представленных молодым специалистом в соответствии с пунктом 5 настоящего Порядка, учреждение в срок не позднее чем за 15 рабочих дней до истечения первого года работы молодого специалиста, исчисленного с учетом пункта 18 настоящего Порядка, направляет в комитет с сопроводительным письмом проект договора о социальной поддержке в трех экземплярах, подписанный руководителем учреждения и молодым специалистом.">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3) учреждение и(или) молодой специалист не соответствует условиям, указанным в </w:t>
      </w:r>
      <w:hyperlink w:history="0" w:anchor="P45" w:tooltip="учреждение - государственное (муниципальное) учреждение Ленинградской области или подведомственная федеральным органам исполнительной власти медицинская организация, участвующая в реализации Территориальной программы государственных гарантий бесплатного оказания гражданам медицинской помощи в Ленинградской области и имеющая прикрепленное население, с которым (которой) молодой специалист заключил договор о предоставлении социальной поддержки молодому специалисту;">
        <w:r>
          <w:rPr>
            <w:sz w:val="20"/>
            <w:color w:val="0000ff"/>
          </w:rPr>
          <w:t xml:space="preserve">абзацах третьем</w:t>
        </w:r>
      </w:hyperlink>
      <w:r>
        <w:rPr>
          <w:sz w:val="20"/>
        </w:rPr>
        <w:t xml:space="preserve"> и </w:t>
      </w:r>
      <w:hyperlink w:history="0" w:anchor="P48" w:tooltip="молодой специалист - гражданин Российской Федерации в возрасте до 35 лет включительно, заключивший трудовой договор с учреждением и имеющий документ об образовании;">
        <w:r>
          <w:rPr>
            <w:sz w:val="20"/>
            <w:color w:val="0000ff"/>
          </w:rPr>
          <w:t xml:space="preserve">шестом пункта 2</w:t>
        </w:r>
      </w:hyperlink>
      <w:r>
        <w:rPr>
          <w:sz w:val="20"/>
        </w:rPr>
        <w:t xml:space="preserve"> настоящего Порядка;</w:t>
      </w:r>
    </w:p>
    <w:p>
      <w:pPr>
        <w:pStyle w:val="0"/>
        <w:spacing w:before="200" w:line-rule="auto"/>
        <w:ind w:firstLine="540"/>
        <w:jc w:val="both"/>
      </w:pPr>
      <w:r>
        <w:rPr>
          <w:sz w:val="20"/>
        </w:rPr>
        <w:t xml:space="preserve">4) с молодым специалистом ранее заключался договор о социальной поддержке.</w:t>
      </w:r>
    </w:p>
    <w:bookmarkStart w:id="79" w:name="P79"/>
    <w:bookmarkEnd w:id="79"/>
    <w:p>
      <w:pPr>
        <w:pStyle w:val="0"/>
        <w:spacing w:before="200" w:line-rule="auto"/>
        <w:ind w:firstLine="540"/>
        <w:jc w:val="both"/>
      </w:pPr>
      <w:r>
        <w:rPr>
          <w:sz w:val="20"/>
        </w:rPr>
        <w:t xml:space="preserve">11. Правовой акт комитета, содержащий мотивированный отказ в предоставлении дополнительной меры социальной поддержки с указанием причин отказа, направляется комитетом руководителю учреждения в течение 10 рабочих дней с даты получения комитетом проекта договора о социальной поддержке и прилагаемых к нему документов.</w:t>
      </w:r>
    </w:p>
    <w:p>
      <w:pPr>
        <w:pStyle w:val="0"/>
        <w:spacing w:before="200" w:line-rule="auto"/>
        <w:ind w:firstLine="540"/>
        <w:jc w:val="both"/>
      </w:pPr>
      <w:r>
        <w:rPr>
          <w:sz w:val="20"/>
        </w:rPr>
        <w:t xml:space="preserve">12. Молодой специалист вправе повторно обратиться за предоставлением дополнительной меры социальной поддержки после устранения причин, послуживших основанием для отказа в ее предоставлении, в течение 10 рабочих дней со дня устранения таких причин.</w:t>
      </w:r>
    </w:p>
    <w:p>
      <w:pPr>
        <w:pStyle w:val="0"/>
        <w:spacing w:before="200" w:line-rule="auto"/>
        <w:ind w:firstLine="540"/>
        <w:jc w:val="both"/>
      </w:pPr>
      <w:r>
        <w:rPr>
          <w:sz w:val="20"/>
        </w:rPr>
        <w:t xml:space="preserve">Срок рассмотрения повторно представленных документов исчисляется с даты их поступления в комитет.</w:t>
      </w:r>
    </w:p>
    <w:p>
      <w:pPr>
        <w:pStyle w:val="0"/>
        <w:spacing w:before="200" w:line-rule="auto"/>
        <w:ind w:firstLine="540"/>
        <w:jc w:val="both"/>
      </w:pPr>
      <w:r>
        <w:rPr>
          <w:sz w:val="20"/>
        </w:rPr>
        <w:t xml:space="preserve">Повторно представленные документы рассматриваются в порядке, определенном </w:t>
      </w:r>
      <w:hyperlink w:history="0" w:anchor="P71" w:tooltip="8. Комитет в течение пяти рабочих дней с даты поступления от учреждения проекта договора о социальной поддержке и прилагаемых к нему документов принимает решение о предоставлении дополнительной меры социальной поддержки либо об отказе в предоставлении дополнительной меры социальной поддержки.">
        <w:r>
          <w:rPr>
            <w:sz w:val="20"/>
            <w:color w:val="0000ff"/>
          </w:rPr>
          <w:t xml:space="preserve">пунктами 8</w:t>
        </w:r>
      </w:hyperlink>
      <w:r>
        <w:rPr>
          <w:sz w:val="20"/>
        </w:rPr>
        <w:t xml:space="preserve"> - </w:t>
      </w:r>
      <w:hyperlink w:history="0" w:anchor="P79" w:tooltip="11. Правовой акт комитета, содержащий мотивированный отказ в предоставлении дополнительной меры социальной поддержки с указанием причин отказа, направляется комитетом руководителю учреждения в течение 10 рабочих дней с даты получения комитетом проекта договора о социальной поддержке и прилагаемых к нему документов.">
        <w:r>
          <w:rPr>
            <w:sz w:val="20"/>
            <w:color w:val="0000ff"/>
          </w:rPr>
          <w:t xml:space="preserve">11</w:t>
        </w:r>
      </w:hyperlink>
      <w:r>
        <w:rPr>
          <w:sz w:val="20"/>
        </w:rPr>
        <w:t xml:space="preserve"> настоящего Порядка.</w:t>
      </w:r>
    </w:p>
    <w:p>
      <w:pPr>
        <w:pStyle w:val="0"/>
        <w:spacing w:before="200" w:line-rule="auto"/>
        <w:ind w:firstLine="540"/>
        <w:jc w:val="both"/>
      </w:pPr>
      <w:r>
        <w:rPr>
          <w:sz w:val="20"/>
        </w:rPr>
        <w:t xml:space="preserve">13. Договор о социальной поддержке заключается на основании трудового договора и по окончании испытательного срока, если такой срок был установлен молодому специалисту при приеме на работу.</w:t>
      </w:r>
    </w:p>
    <w:bookmarkStart w:id="84" w:name="P84"/>
    <w:bookmarkEnd w:id="84"/>
    <w:p>
      <w:pPr>
        <w:pStyle w:val="0"/>
        <w:spacing w:before="200" w:line-rule="auto"/>
        <w:ind w:firstLine="540"/>
        <w:jc w:val="both"/>
      </w:pPr>
      <w:r>
        <w:rPr>
          <w:sz w:val="20"/>
        </w:rPr>
        <w:t xml:space="preserve">14. Исполнение обязательств по договору о социальной поддержке приостанавливается с даты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до момента заключения нового трудового договора.</w:t>
      </w:r>
    </w:p>
    <w:p>
      <w:pPr>
        <w:pStyle w:val="0"/>
        <w:spacing w:before="200" w:line-rule="auto"/>
        <w:ind w:firstLine="540"/>
        <w:jc w:val="both"/>
      </w:pPr>
      <w:r>
        <w:rPr>
          <w:sz w:val="20"/>
        </w:rPr>
        <w:t xml:space="preserve">Трудовой договор должен быть заключен с учреждением в течение 30 календарных дней со дня окончания военной службы (альтернативной гражданской службы)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w:t>
      </w:r>
    </w:p>
    <w:p>
      <w:pPr>
        <w:pStyle w:val="0"/>
        <w:spacing w:before="200" w:line-rule="auto"/>
        <w:ind w:firstLine="540"/>
        <w:jc w:val="both"/>
      </w:pPr>
      <w:r>
        <w:rPr>
          <w:sz w:val="20"/>
        </w:rPr>
        <w:t xml:space="preserve">В случае несоблюдения молодым специалистом срока заключения трудового договора, указанного в настоящем пункте, договор о социальной поддержке прекращает свое действие.</w:t>
      </w:r>
    </w:p>
    <w:p>
      <w:pPr>
        <w:pStyle w:val="0"/>
        <w:spacing w:before="200" w:line-rule="auto"/>
        <w:ind w:firstLine="540"/>
        <w:jc w:val="both"/>
      </w:pPr>
      <w:r>
        <w:rPr>
          <w:sz w:val="20"/>
        </w:rPr>
        <w:t xml:space="preserve">15. Пособие перечисляется на банковский счет молодого специалиста, указанный в договоре о социальной поддержке, ежегодно по истечении первого, второго и третьего года работы молодого специалиста в учреждении, если на дату совершения соответствующей банковской операции трудовой договор и договор о социальной поддержке продолжали действовать.</w:t>
      </w:r>
    </w:p>
    <w:p>
      <w:pPr>
        <w:pStyle w:val="0"/>
        <w:spacing w:before="200" w:line-rule="auto"/>
        <w:ind w:firstLine="540"/>
        <w:jc w:val="both"/>
      </w:pPr>
      <w:r>
        <w:rPr>
          <w:sz w:val="20"/>
        </w:rPr>
        <w:t xml:space="preserve">16. Размер пособия, выплачиваемого молодому специалисту по истечении первого, второго или третьего года работы, соответствует размеру пособия, действующему на дату истечения первого, второго или третьего года работы соответственно.</w:t>
      </w:r>
    </w:p>
    <w:p>
      <w:pPr>
        <w:pStyle w:val="0"/>
        <w:spacing w:before="200" w:line-rule="auto"/>
        <w:ind w:firstLine="540"/>
        <w:jc w:val="both"/>
      </w:pPr>
      <w:r>
        <w:rPr>
          <w:sz w:val="20"/>
        </w:rPr>
        <w:t xml:space="preserve">17. Перечисление пособия осуществляется в течение 30 календарных дней со дня окончания каждого года работы молодого специалиста по трудовому договору, исчисленного с учетом </w:t>
      </w:r>
      <w:hyperlink w:history="0" w:anchor="P90" w:tooltip="18. В год работы, за который предоставляется пособие, не включаются:">
        <w:r>
          <w:rPr>
            <w:sz w:val="20"/>
            <w:color w:val="0000ff"/>
          </w:rPr>
          <w:t xml:space="preserve">пункта 18</w:t>
        </w:r>
      </w:hyperlink>
      <w:r>
        <w:rPr>
          <w:sz w:val="20"/>
        </w:rPr>
        <w:t xml:space="preserve"> настоящего Порядка. Сведения о дате окончания года работы молодого специалиста направляются учреждением в комитет не позднее чем за пять рабочих дней до даты окончания года работы молодого специалиста.</w:t>
      </w:r>
    </w:p>
    <w:bookmarkStart w:id="90" w:name="P90"/>
    <w:bookmarkEnd w:id="90"/>
    <w:p>
      <w:pPr>
        <w:pStyle w:val="0"/>
        <w:spacing w:before="200" w:line-rule="auto"/>
        <w:ind w:firstLine="540"/>
        <w:jc w:val="both"/>
      </w:pPr>
      <w:r>
        <w:rPr>
          <w:sz w:val="20"/>
        </w:rPr>
        <w:t xml:space="preserve">18. В год работы, за который предоставляется пособие, не включаются:</w:t>
      </w:r>
    </w:p>
    <w:p>
      <w:pPr>
        <w:pStyle w:val="0"/>
        <w:spacing w:before="200" w:line-rule="auto"/>
        <w:ind w:firstLine="540"/>
        <w:jc w:val="both"/>
      </w:pPr>
      <w:r>
        <w:rPr>
          <w:sz w:val="20"/>
        </w:rPr>
        <w:t xml:space="preserve">время отсутствия молодого специалиста на работе без уважительных причин, в том числе вследствие его отстранения от работы в случаях, предусмотренных </w:t>
      </w:r>
      <w:hyperlink w:history="0" r:id="rId10" w:tooltip="&quot;Трудовой кодекс Российской Федерации&quot; от 30.12.2001 N 197-ФЗ (ред. от 06.04.2024) {КонсультантПлюс}">
        <w:r>
          <w:rPr>
            <w:sz w:val="20"/>
            <w:color w:val="0000ff"/>
          </w:rPr>
          <w:t xml:space="preserve">статьей 76</w:t>
        </w:r>
      </w:hyperlink>
      <w:r>
        <w:rPr>
          <w:sz w:val="20"/>
        </w:rPr>
        <w:t xml:space="preserve"> Трудового кодекса Российской Федерации;</w:t>
      </w:r>
    </w:p>
    <w:p>
      <w:pPr>
        <w:pStyle w:val="0"/>
        <w:spacing w:before="200" w:line-rule="auto"/>
        <w:ind w:firstLine="540"/>
        <w:jc w:val="both"/>
      </w:pPr>
      <w:r>
        <w:rPr>
          <w:sz w:val="20"/>
        </w:rPr>
        <w:t xml:space="preserve">время отпусков по уходу за ребенком до достижения им установленного законом возраста;</w:t>
      </w:r>
    </w:p>
    <w:p>
      <w:pPr>
        <w:pStyle w:val="0"/>
        <w:spacing w:before="200" w:line-rule="auto"/>
        <w:ind w:firstLine="540"/>
        <w:jc w:val="both"/>
      </w:pPr>
      <w:r>
        <w:rPr>
          <w:sz w:val="20"/>
        </w:rPr>
        <w:t xml:space="preserve">время предоставляемых по просьбе молодого специалиста отпусков без сохранения заработной платы, превышающее 14 календарных дней в течение рабочего года;</w:t>
      </w:r>
    </w:p>
    <w:p>
      <w:pPr>
        <w:pStyle w:val="0"/>
        <w:spacing w:before="200" w:line-rule="auto"/>
        <w:ind w:firstLine="540"/>
        <w:jc w:val="both"/>
      </w:pPr>
      <w:r>
        <w:rPr>
          <w:sz w:val="20"/>
        </w:rPr>
        <w:t xml:space="preserve">время, в течение которого исполнение обязательств по договору о социальной поддержке было приостановлено.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29.12.2023 N 985</w:t>
      </w:r>
    </w:p>
    <w:p>
      <w:pPr>
        <w:pStyle w:val="0"/>
        <w:jc w:val="right"/>
      </w:pPr>
      <w:r>
        <w:rPr>
          <w:sz w:val="20"/>
        </w:rPr>
        <w:t xml:space="preserve">(приложение 2)</w:t>
      </w:r>
    </w:p>
    <w:p>
      <w:pPr>
        <w:pStyle w:val="0"/>
      </w:pPr>
      <w:r>
        <w:rPr>
          <w:sz w:val="20"/>
        </w:rPr>
      </w:r>
    </w:p>
    <w:p>
      <w:pPr>
        <w:pStyle w:val="0"/>
      </w:pPr>
      <w:r>
        <w:rPr>
          <w:sz w:val="20"/>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1573"/>
        <w:gridCol w:w="1440"/>
        <w:gridCol w:w="674"/>
        <w:gridCol w:w="1470"/>
        <w:gridCol w:w="3569"/>
        <w:gridCol w:w="345"/>
      </w:tblGrid>
      <w:tr>
        <w:tc>
          <w:tcPr>
            <w:gridSpan w:val="6"/>
            <w:tcW w:w="9071" w:type="dxa"/>
            <w:tcBorders>
              <w:top w:val="nil"/>
              <w:left w:val="nil"/>
              <w:bottom w:val="nil"/>
              <w:right w:val="nil"/>
            </w:tcBorders>
          </w:tcPr>
          <w:bookmarkStart w:id="108" w:name="P108"/>
          <w:bookmarkEnd w:id="108"/>
          <w:p>
            <w:pPr>
              <w:pStyle w:val="0"/>
              <w:jc w:val="center"/>
            </w:pPr>
            <w:r>
              <w:rPr>
                <w:sz w:val="20"/>
              </w:rPr>
              <w:t xml:space="preserve">ДОГОВОР</w:t>
            </w:r>
          </w:p>
          <w:p>
            <w:pPr>
              <w:pStyle w:val="0"/>
              <w:jc w:val="center"/>
            </w:pPr>
            <w:r>
              <w:rPr>
                <w:sz w:val="20"/>
              </w:rPr>
              <w:t xml:space="preserve">о предоставлении социальной поддержки молодому специалисту</w:t>
            </w:r>
          </w:p>
        </w:tc>
      </w:tr>
      <w:tr>
        <w:tc>
          <w:tcPr>
            <w:gridSpan w:val="6"/>
            <w:tcW w:w="9071" w:type="dxa"/>
            <w:tcBorders>
              <w:top w:val="nil"/>
              <w:left w:val="nil"/>
              <w:bottom w:val="nil"/>
              <w:right w:val="nil"/>
            </w:tcBorders>
          </w:tcPr>
          <w:p>
            <w:pPr>
              <w:pStyle w:val="0"/>
            </w:pPr>
            <w:r>
              <w:rPr>
                <w:sz w:val="20"/>
              </w:rPr>
            </w:r>
          </w:p>
        </w:tc>
      </w:tr>
      <w:tr>
        <w:tc>
          <w:tcPr>
            <w:gridSpan w:val="6"/>
            <w:tcW w:w="9071" w:type="dxa"/>
            <w:tcBorders>
              <w:top w:val="nil"/>
              <w:left w:val="nil"/>
              <w:bottom w:val="nil"/>
              <w:right w:val="nil"/>
            </w:tcBorders>
          </w:tcPr>
          <w:p>
            <w:pPr>
              <w:pStyle w:val="0"/>
              <w:jc w:val="right"/>
            </w:pPr>
            <w:r>
              <w:rPr>
                <w:sz w:val="20"/>
              </w:rPr>
              <w:t xml:space="preserve">"___" ___________ 20__ года</w:t>
            </w:r>
          </w:p>
        </w:tc>
      </w:tr>
      <w:tr>
        <w:tc>
          <w:tcPr>
            <w:gridSpan w:val="6"/>
            <w:tcW w:w="9071" w:type="dxa"/>
            <w:tcBorders>
              <w:top w:val="nil"/>
              <w:left w:val="nil"/>
              <w:bottom w:val="nil"/>
              <w:right w:val="nil"/>
            </w:tcBorders>
          </w:tcPr>
          <w:p>
            <w:pPr>
              <w:pStyle w:val="0"/>
            </w:pPr>
            <w:r>
              <w:rPr>
                <w:sz w:val="20"/>
              </w:rPr>
            </w:r>
          </w:p>
        </w:tc>
      </w:tr>
      <w:tr>
        <w:tc>
          <w:tcPr>
            <w:gridSpan w:val="2"/>
            <w:tcW w:w="3013" w:type="dxa"/>
            <w:tcBorders>
              <w:top w:val="nil"/>
              <w:left w:val="nil"/>
              <w:bottom w:val="nil"/>
              <w:right w:val="nil"/>
            </w:tcBorders>
          </w:tcPr>
          <w:p>
            <w:pPr>
              <w:pStyle w:val="0"/>
              <w:ind w:firstLine="283"/>
              <w:jc w:val="both"/>
            </w:pPr>
            <w:r>
              <w:rPr>
                <w:sz w:val="20"/>
              </w:rPr>
              <w:t xml:space="preserve">Гражданин (гражданка)</w:t>
            </w:r>
          </w:p>
        </w:tc>
        <w:tc>
          <w:tcPr>
            <w:gridSpan w:val="3"/>
            <w:tcW w:w="5713" w:type="dxa"/>
            <w:tcBorders>
              <w:top w:val="nil"/>
              <w:left w:val="nil"/>
              <w:bottom w:val="single" w:sz="4"/>
              <w:right w:val="nil"/>
            </w:tcBorders>
          </w:tcPr>
          <w:p>
            <w:pPr>
              <w:pStyle w:val="0"/>
              <w:jc w:val="both"/>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2"/>
            <w:tcW w:w="3013" w:type="dxa"/>
            <w:tcBorders>
              <w:top w:val="nil"/>
              <w:left w:val="nil"/>
              <w:bottom w:val="nil"/>
              <w:right w:val="nil"/>
            </w:tcBorders>
          </w:tcPr>
          <w:p>
            <w:pPr>
              <w:pStyle w:val="0"/>
            </w:pPr>
            <w:r>
              <w:rPr>
                <w:sz w:val="20"/>
              </w:rPr>
            </w:r>
          </w:p>
        </w:tc>
        <w:tc>
          <w:tcPr>
            <w:gridSpan w:val="3"/>
            <w:tcW w:w="5713" w:type="dxa"/>
            <w:tcBorders>
              <w:top w:val="single" w:sz="4"/>
              <w:left w:val="nil"/>
              <w:bottom w:val="nil"/>
              <w:right w:val="nil"/>
            </w:tcBorders>
          </w:tcPr>
          <w:p>
            <w:pPr>
              <w:pStyle w:val="0"/>
              <w:jc w:val="center"/>
            </w:pPr>
            <w:r>
              <w:rPr>
                <w:sz w:val="20"/>
              </w:rPr>
              <w:t xml:space="preserve">(фамилия, имя, отчество)</w:t>
            </w:r>
          </w:p>
        </w:tc>
        <w:tc>
          <w:tcPr>
            <w:tcW w:w="345" w:type="dxa"/>
            <w:tcBorders>
              <w:top w:val="nil"/>
              <w:left w:val="nil"/>
              <w:bottom w:val="nil"/>
              <w:right w:val="nil"/>
            </w:tcBorders>
          </w:tcPr>
          <w:p>
            <w:pPr>
              <w:pStyle w:val="0"/>
              <w:jc w:val="both"/>
            </w:pPr>
            <w:r>
              <w:rPr>
                <w:sz w:val="20"/>
              </w:rPr>
            </w:r>
          </w:p>
        </w:tc>
      </w:tr>
      <w:tr>
        <w:tc>
          <w:tcPr>
            <w:gridSpan w:val="6"/>
            <w:tcW w:w="9071" w:type="dxa"/>
            <w:tcBorders>
              <w:top w:val="nil"/>
              <w:left w:val="nil"/>
              <w:bottom w:val="nil"/>
              <w:right w:val="nil"/>
            </w:tcBorders>
          </w:tcPr>
          <w:p>
            <w:pPr>
              <w:pStyle w:val="0"/>
            </w:pPr>
            <w:r>
              <w:rPr>
                <w:sz w:val="20"/>
              </w:rPr>
              <w:t xml:space="preserve">дата рождения _____________________, паспорт ______________________________</w:t>
            </w:r>
          </w:p>
        </w:tc>
      </w:tr>
      <w:tr>
        <w:tc>
          <w:tcPr>
            <w:gridSpan w:val="6"/>
            <w:tcW w:w="9071" w:type="dxa"/>
            <w:tcBorders>
              <w:top w:val="nil"/>
              <w:left w:val="nil"/>
              <w:bottom w:val="single" w:sz="4"/>
              <w:right w:val="nil"/>
            </w:tcBorders>
          </w:tcPr>
          <w:p>
            <w:pPr>
              <w:pStyle w:val="0"/>
            </w:pPr>
            <w:r>
              <w:rPr>
                <w:sz w:val="20"/>
              </w:rPr>
            </w:r>
          </w:p>
        </w:tc>
      </w:tr>
      <w:tr>
        <w:tc>
          <w:tcPr>
            <w:gridSpan w:val="6"/>
            <w:tcW w:w="9071" w:type="dxa"/>
            <w:tcBorders>
              <w:top w:val="single" w:sz="4"/>
              <w:left w:val="nil"/>
              <w:bottom w:val="nil"/>
              <w:right w:val="nil"/>
            </w:tcBorders>
          </w:tcPr>
          <w:p>
            <w:pPr>
              <w:pStyle w:val="0"/>
              <w:jc w:val="center"/>
            </w:pPr>
            <w:r>
              <w:rPr>
                <w:sz w:val="20"/>
              </w:rPr>
              <w:t xml:space="preserve">(серия, номер, кем и когда выдан)</w:t>
            </w:r>
          </w:p>
        </w:tc>
      </w:tr>
      <w:tr>
        <w:tc>
          <w:tcPr>
            <w:gridSpan w:val="6"/>
            <w:tcW w:w="9071" w:type="dxa"/>
            <w:tcBorders>
              <w:top w:val="nil"/>
              <w:left w:val="nil"/>
              <w:bottom w:val="nil"/>
              <w:right w:val="nil"/>
            </w:tcBorders>
          </w:tcPr>
          <w:p>
            <w:pPr>
              <w:pStyle w:val="0"/>
            </w:pPr>
            <w:r>
              <w:rPr>
                <w:sz w:val="20"/>
              </w:rPr>
              <w:t xml:space="preserve">зарегистрированный (зарегистрированная) по адресу: ___________________________</w:t>
            </w:r>
          </w:p>
        </w:tc>
      </w:tr>
      <w:tr>
        <w:tc>
          <w:tcPr>
            <w:gridSpan w:val="6"/>
            <w:tcW w:w="9071" w:type="dxa"/>
            <w:tcBorders>
              <w:top w:val="nil"/>
              <w:left w:val="nil"/>
              <w:bottom w:val="single" w:sz="4"/>
              <w:right w:val="nil"/>
            </w:tcBorders>
          </w:tcPr>
          <w:p>
            <w:pPr>
              <w:pStyle w:val="0"/>
            </w:pPr>
            <w:r>
              <w:rPr>
                <w:sz w:val="20"/>
              </w:rPr>
            </w:r>
          </w:p>
        </w:tc>
      </w:tr>
      <w:tr>
        <w:tc>
          <w:tcPr>
            <w:gridSpan w:val="6"/>
            <w:tcW w:w="9071" w:type="dxa"/>
            <w:tcBorders>
              <w:top w:val="single" w:sz="4"/>
              <w:left w:val="nil"/>
              <w:bottom w:val="nil"/>
              <w:right w:val="nil"/>
            </w:tcBorders>
          </w:tcPr>
          <w:p>
            <w:pPr>
              <w:pStyle w:val="0"/>
            </w:pPr>
            <w:r>
              <w:rPr>
                <w:sz w:val="20"/>
              </w:rPr>
              <w:t xml:space="preserve">ИНН _________________________, именуемый (именуемая) в дальнейшем Молодой</w:t>
            </w:r>
          </w:p>
        </w:tc>
      </w:tr>
      <w:tr>
        <w:tc>
          <w:tcPr>
            <w:tcW w:w="1573" w:type="dxa"/>
            <w:tcBorders>
              <w:top w:val="nil"/>
              <w:left w:val="nil"/>
              <w:bottom w:val="nil"/>
              <w:right w:val="nil"/>
            </w:tcBorders>
          </w:tcPr>
          <w:p>
            <w:pPr>
              <w:pStyle w:val="0"/>
            </w:pPr>
            <w:r>
              <w:rPr>
                <w:sz w:val="20"/>
              </w:rPr>
              <w:t xml:space="preserve">специалист,</w:t>
            </w:r>
          </w:p>
        </w:tc>
        <w:tc>
          <w:tcPr>
            <w:gridSpan w:val="5"/>
            <w:tcW w:w="7498" w:type="dxa"/>
            <w:tcBorders>
              <w:top w:val="nil"/>
              <w:left w:val="nil"/>
              <w:bottom w:val="single" w:sz="4"/>
              <w:right w:val="nil"/>
            </w:tcBorders>
          </w:tcPr>
          <w:p>
            <w:pPr>
              <w:pStyle w:val="0"/>
              <w:jc w:val="both"/>
            </w:pPr>
            <w:r>
              <w:rPr>
                <w:sz w:val="20"/>
              </w:rPr>
            </w:r>
          </w:p>
        </w:tc>
      </w:tr>
      <w:tr>
        <w:tc>
          <w:tcPr>
            <w:tcW w:w="1573" w:type="dxa"/>
            <w:tcBorders>
              <w:top w:val="nil"/>
              <w:left w:val="nil"/>
              <w:bottom w:val="nil"/>
              <w:right w:val="nil"/>
            </w:tcBorders>
          </w:tcPr>
          <w:p>
            <w:pPr>
              <w:pStyle w:val="0"/>
            </w:pPr>
            <w:r>
              <w:rPr>
                <w:sz w:val="20"/>
              </w:rPr>
            </w:r>
          </w:p>
        </w:tc>
        <w:tc>
          <w:tcPr>
            <w:gridSpan w:val="5"/>
            <w:tcW w:w="7498" w:type="dxa"/>
            <w:tcBorders>
              <w:top w:val="single" w:sz="4"/>
              <w:left w:val="nil"/>
              <w:bottom w:val="nil"/>
              <w:right w:val="nil"/>
            </w:tcBorders>
          </w:tcPr>
          <w:p>
            <w:pPr>
              <w:pStyle w:val="0"/>
              <w:jc w:val="center"/>
            </w:pPr>
            <w:r>
              <w:rPr>
                <w:sz w:val="20"/>
              </w:rPr>
              <w:t xml:space="preserve">(наименование государственного (муниципального)</w:t>
            </w:r>
          </w:p>
        </w:tc>
      </w:tr>
      <w:tr>
        <w:tc>
          <w:tcPr>
            <w:gridSpan w:val="5"/>
            <w:tcW w:w="8726"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5"/>
            <w:tcW w:w="8726" w:type="dxa"/>
            <w:tcBorders>
              <w:top w:val="single" w:sz="4"/>
              <w:left w:val="nil"/>
              <w:bottom w:val="nil"/>
              <w:right w:val="nil"/>
            </w:tcBorders>
          </w:tcPr>
          <w:p>
            <w:pPr>
              <w:pStyle w:val="0"/>
              <w:jc w:val="center"/>
            </w:pPr>
            <w:r>
              <w:rPr>
                <w:sz w:val="20"/>
              </w:rPr>
              <w:t xml:space="preserve">учреждения (образовательной организации)</w:t>
            </w:r>
          </w:p>
        </w:tc>
        <w:tc>
          <w:tcPr>
            <w:tcW w:w="345" w:type="dxa"/>
            <w:tcBorders>
              <w:top w:val="nil"/>
              <w:left w:val="nil"/>
              <w:bottom w:val="nil"/>
              <w:right w:val="nil"/>
            </w:tcBorders>
          </w:tcPr>
          <w:p>
            <w:pPr>
              <w:pStyle w:val="0"/>
              <w:jc w:val="both"/>
            </w:pPr>
            <w:r>
              <w:rPr>
                <w:sz w:val="20"/>
              </w:rPr>
            </w:r>
          </w:p>
        </w:tc>
      </w:tr>
      <w:tr>
        <w:tc>
          <w:tcPr>
            <w:gridSpan w:val="6"/>
            <w:tcW w:w="9071" w:type="dxa"/>
            <w:tcBorders>
              <w:top w:val="nil"/>
              <w:left w:val="nil"/>
              <w:bottom w:val="nil"/>
              <w:right w:val="nil"/>
            </w:tcBorders>
          </w:tcPr>
          <w:p>
            <w:pPr>
              <w:pStyle w:val="0"/>
              <w:jc w:val="both"/>
            </w:pPr>
            <w:r>
              <w:rPr>
                <w:sz w:val="20"/>
              </w:rPr>
              <w:t xml:space="preserve">именуемое в дальнейшем Учреждение (Организация), в лице руководителя Учреждения (Организации)</w:t>
            </w:r>
          </w:p>
        </w:tc>
      </w:tr>
      <w:tr>
        <w:tc>
          <w:tcPr>
            <w:gridSpan w:val="6"/>
            <w:tcW w:w="9071" w:type="dxa"/>
            <w:tcBorders>
              <w:top w:val="nil"/>
              <w:left w:val="nil"/>
              <w:bottom w:val="single" w:sz="4"/>
              <w:right w:val="nil"/>
            </w:tcBorders>
          </w:tcPr>
          <w:p>
            <w:pPr>
              <w:pStyle w:val="0"/>
              <w:jc w:val="both"/>
            </w:pPr>
            <w:r>
              <w:rPr>
                <w:sz w:val="20"/>
              </w:rPr>
            </w:r>
          </w:p>
        </w:tc>
      </w:tr>
      <w:tr>
        <w:tc>
          <w:tcPr>
            <w:gridSpan w:val="6"/>
            <w:tcW w:w="9071" w:type="dxa"/>
            <w:tcBorders>
              <w:top w:val="single" w:sz="4"/>
              <w:left w:val="nil"/>
              <w:bottom w:val="nil"/>
              <w:right w:val="nil"/>
            </w:tcBorders>
          </w:tcPr>
          <w:p>
            <w:pPr>
              <w:pStyle w:val="0"/>
              <w:jc w:val="center"/>
            </w:pPr>
            <w:r>
              <w:rPr>
                <w:sz w:val="20"/>
              </w:rPr>
              <w:t xml:space="preserve">(должность,</w:t>
            </w:r>
          </w:p>
        </w:tc>
      </w:tr>
      <w:tr>
        <w:tc>
          <w:tcPr>
            <w:gridSpan w:val="5"/>
            <w:tcW w:w="8726"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5"/>
            <w:tcW w:w="8726" w:type="dxa"/>
            <w:tcBorders>
              <w:top w:val="single" w:sz="4"/>
              <w:left w:val="nil"/>
              <w:bottom w:val="nil"/>
              <w:right w:val="nil"/>
            </w:tcBorders>
          </w:tcPr>
          <w:p>
            <w:pPr>
              <w:pStyle w:val="0"/>
              <w:jc w:val="center"/>
            </w:pPr>
            <w:r>
              <w:rPr>
                <w:sz w:val="20"/>
              </w:rPr>
              <w:t xml:space="preserve">фамилия, имя, отчество)</w:t>
            </w:r>
          </w:p>
        </w:tc>
        <w:tc>
          <w:tcPr>
            <w:tcW w:w="345" w:type="dxa"/>
            <w:tcBorders>
              <w:top w:val="nil"/>
              <w:left w:val="nil"/>
              <w:bottom w:val="nil"/>
              <w:right w:val="nil"/>
            </w:tcBorders>
          </w:tcPr>
          <w:p>
            <w:pPr>
              <w:pStyle w:val="0"/>
              <w:jc w:val="both"/>
            </w:pPr>
            <w:r>
              <w:rPr>
                <w:sz w:val="20"/>
              </w:rPr>
            </w:r>
          </w:p>
        </w:tc>
      </w:tr>
      <w:tr>
        <w:tc>
          <w:tcPr>
            <w:gridSpan w:val="6"/>
            <w:tcW w:w="9071" w:type="dxa"/>
            <w:tcBorders>
              <w:top w:val="nil"/>
              <w:left w:val="nil"/>
              <w:bottom w:val="nil"/>
              <w:right w:val="nil"/>
            </w:tcBorders>
          </w:tcPr>
          <w:p>
            <w:pPr>
              <w:pStyle w:val="0"/>
            </w:pPr>
            <w:r>
              <w:rPr>
                <w:sz w:val="20"/>
              </w:rPr>
              <w:t xml:space="preserve">действующего на основании Устава Учреждения (Организации), и &lt;*&gt;</w:t>
            </w:r>
          </w:p>
        </w:tc>
      </w:tr>
      <w:tr>
        <w:tc>
          <w:tcPr>
            <w:gridSpan w:val="6"/>
            <w:tcW w:w="9071" w:type="dxa"/>
            <w:tcBorders>
              <w:top w:val="nil"/>
              <w:left w:val="nil"/>
              <w:bottom w:val="single" w:sz="4"/>
              <w:right w:val="nil"/>
            </w:tcBorders>
          </w:tcPr>
          <w:p>
            <w:pPr>
              <w:pStyle w:val="0"/>
            </w:pPr>
            <w:r>
              <w:rPr>
                <w:sz w:val="20"/>
              </w:rPr>
            </w:r>
          </w:p>
        </w:tc>
      </w:tr>
      <w:tr>
        <w:tc>
          <w:tcPr>
            <w:gridSpan w:val="6"/>
            <w:tcW w:w="9071" w:type="dxa"/>
            <w:tcBorders>
              <w:top w:val="single" w:sz="4"/>
              <w:left w:val="nil"/>
              <w:bottom w:val="nil"/>
              <w:right w:val="nil"/>
            </w:tcBorders>
          </w:tcPr>
          <w:p>
            <w:pPr>
              <w:pStyle w:val="0"/>
              <w:jc w:val="center"/>
            </w:pPr>
            <w:r>
              <w:rPr>
                <w:sz w:val="20"/>
              </w:rPr>
              <w:t xml:space="preserve">(наименование органа</w:t>
            </w:r>
          </w:p>
        </w:tc>
      </w:tr>
      <w:tr>
        <w:tc>
          <w:tcPr>
            <w:gridSpan w:val="5"/>
            <w:tcW w:w="8726"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5"/>
            <w:tcW w:w="8726" w:type="dxa"/>
            <w:tcBorders>
              <w:top w:val="single" w:sz="4"/>
              <w:left w:val="nil"/>
              <w:bottom w:val="nil"/>
              <w:right w:val="nil"/>
            </w:tcBorders>
          </w:tcPr>
          <w:p>
            <w:pPr>
              <w:pStyle w:val="0"/>
              <w:jc w:val="center"/>
            </w:pPr>
            <w:r>
              <w:rPr>
                <w:sz w:val="20"/>
              </w:rPr>
              <w:t xml:space="preserve">исполнительной власти Ленинградской области)</w:t>
            </w:r>
          </w:p>
        </w:tc>
        <w:tc>
          <w:tcPr>
            <w:tcW w:w="345" w:type="dxa"/>
            <w:tcBorders>
              <w:top w:val="nil"/>
              <w:left w:val="nil"/>
              <w:bottom w:val="nil"/>
              <w:right w:val="nil"/>
            </w:tcBorders>
          </w:tcPr>
          <w:p>
            <w:pPr>
              <w:pStyle w:val="0"/>
              <w:jc w:val="both"/>
            </w:pPr>
            <w:r>
              <w:rPr>
                <w:sz w:val="20"/>
              </w:rPr>
            </w:r>
          </w:p>
        </w:tc>
      </w:tr>
      <w:tr>
        <w:tc>
          <w:tcPr>
            <w:gridSpan w:val="4"/>
            <w:tcW w:w="5157" w:type="dxa"/>
            <w:tcBorders>
              <w:top w:val="nil"/>
              <w:left w:val="nil"/>
              <w:bottom w:val="nil"/>
              <w:right w:val="nil"/>
            </w:tcBorders>
          </w:tcPr>
          <w:p>
            <w:pPr>
              <w:pStyle w:val="0"/>
            </w:pPr>
            <w:r>
              <w:rPr>
                <w:sz w:val="20"/>
              </w:rPr>
              <w:t xml:space="preserve">именуемый в дальнейшем Комитет, в лице &lt;*&gt;</w:t>
            </w:r>
          </w:p>
        </w:tc>
        <w:tc>
          <w:tcPr>
            <w:gridSpan w:val="2"/>
            <w:tcW w:w="3914" w:type="dxa"/>
            <w:tcBorders>
              <w:top w:val="nil"/>
              <w:left w:val="nil"/>
              <w:bottom w:val="single" w:sz="4"/>
              <w:right w:val="nil"/>
            </w:tcBorders>
          </w:tcPr>
          <w:p>
            <w:pPr>
              <w:pStyle w:val="0"/>
              <w:jc w:val="both"/>
            </w:pPr>
            <w:r>
              <w:rPr>
                <w:sz w:val="20"/>
              </w:rPr>
            </w:r>
          </w:p>
        </w:tc>
      </w:tr>
      <w:tr>
        <w:tc>
          <w:tcPr>
            <w:gridSpan w:val="4"/>
            <w:tcW w:w="5157" w:type="dxa"/>
            <w:tcBorders>
              <w:top w:val="nil"/>
              <w:left w:val="nil"/>
              <w:bottom w:val="nil"/>
              <w:right w:val="nil"/>
            </w:tcBorders>
          </w:tcPr>
          <w:p>
            <w:pPr>
              <w:pStyle w:val="0"/>
            </w:pPr>
            <w:r>
              <w:rPr>
                <w:sz w:val="20"/>
              </w:rPr>
            </w:r>
          </w:p>
        </w:tc>
        <w:tc>
          <w:tcPr>
            <w:gridSpan w:val="2"/>
            <w:tcW w:w="3914" w:type="dxa"/>
            <w:tcBorders>
              <w:top w:val="single" w:sz="4"/>
              <w:left w:val="nil"/>
              <w:bottom w:val="nil"/>
              <w:right w:val="nil"/>
            </w:tcBorders>
          </w:tcPr>
          <w:p>
            <w:pPr>
              <w:pStyle w:val="0"/>
              <w:jc w:val="center"/>
            </w:pPr>
            <w:r>
              <w:rPr>
                <w:sz w:val="20"/>
              </w:rPr>
              <w:t xml:space="preserve">(должность,</w:t>
            </w:r>
          </w:p>
        </w:tc>
      </w:tr>
      <w:tr>
        <w:tc>
          <w:tcPr>
            <w:gridSpan w:val="5"/>
            <w:tcW w:w="8726"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5"/>
            <w:tcW w:w="8726" w:type="dxa"/>
            <w:tcBorders>
              <w:top w:val="single" w:sz="4"/>
              <w:left w:val="nil"/>
              <w:bottom w:val="nil"/>
              <w:right w:val="nil"/>
            </w:tcBorders>
          </w:tcPr>
          <w:p>
            <w:pPr>
              <w:pStyle w:val="0"/>
              <w:jc w:val="center"/>
            </w:pPr>
            <w:r>
              <w:rPr>
                <w:sz w:val="20"/>
              </w:rPr>
              <w:t xml:space="preserve">фамилия, имя, отчество)</w:t>
            </w:r>
          </w:p>
        </w:tc>
        <w:tc>
          <w:tcPr>
            <w:tcW w:w="345" w:type="dxa"/>
            <w:tcBorders>
              <w:top w:val="nil"/>
              <w:left w:val="nil"/>
              <w:bottom w:val="nil"/>
              <w:right w:val="nil"/>
            </w:tcBorders>
          </w:tcPr>
          <w:p>
            <w:pPr>
              <w:pStyle w:val="0"/>
              <w:jc w:val="both"/>
            </w:pPr>
            <w:r>
              <w:rPr>
                <w:sz w:val="20"/>
              </w:rPr>
            </w:r>
          </w:p>
        </w:tc>
      </w:tr>
      <w:tr>
        <w:tc>
          <w:tcPr>
            <w:gridSpan w:val="3"/>
            <w:tcW w:w="3687" w:type="dxa"/>
            <w:tcBorders>
              <w:top w:val="nil"/>
              <w:left w:val="nil"/>
              <w:bottom w:val="nil"/>
              <w:right w:val="nil"/>
            </w:tcBorders>
          </w:tcPr>
          <w:p>
            <w:pPr>
              <w:pStyle w:val="0"/>
            </w:pPr>
            <w:r>
              <w:rPr>
                <w:sz w:val="20"/>
              </w:rPr>
              <w:t xml:space="preserve">действующего на основании &lt;*&gt;</w:t>
            </w:r>
          </w:p>
        </w:tc>
        <w:tc>
          <w:tcPr>
            <w:gridSpan w:val="3"/>
            <w:tcW w:w="5384" w:type="dxa"/>
            <w:tcBorders>
              <w:top w:val="nil"/>
              <w:left w:val="nil"/>
              <w:bottom w:val="single" w:sz="4"/>
              <w:right w:val="nil"/>
            </w:tcBorders>
          </w:tcPr>
          <w:p>
            <w:pPr>
              <w:pStyle w:val="0"/>
              <w:jc w:val="both"/>
            </w:pPr>
            <w:r>
              <w:rPr>
                <w:sz w:val="20"/>
              </w:rPr>
            </w:r>
          </w:p>
        </w:tc>
      </w:tr>
      <w:tr>
        <w:tc>
          <w:tcPr>
            <w:gridSpan w:val="5"/>
            <w:tcW w:w="8726" w:type="dxa"/>
            <w:tcBorders>
              <w:top w:val="nil"/>
              <w:left w:val="nil"/>
              <w:bottom w:val="single" w:sz="4"/>
              <w:right w:val="nil"/>
            </w:tcBorders>
          </w:tcPr>
          <w:p>
            <w:pPr>
              <w:pStyle w:val="0"/>
            </w:pPr>
            <w:r>
              <w:rPr>
                <w:sz w:val="20"/>
              </w:rPr>
            </w:r>
          </w:p>
        </w:tc>
        <w:tc>
          <w:tcPr>
            <w:tcW w:w="345" w:type="dxa"/>
            <w:tcBorders>
              <w:top w:val="single" w:sz="4"/>
              <w:left w:val="nil"/>
              <w:bottom w:val="nil"/>
              <w:right w:val="nil"/>
            </w:tcBorders>
          </w:tcPr>
          <w:p>
            <w:pPr>
              <w:pStyle w:val="0"/>
              <w:jc w:val="both"/>
            </w:pPr>
            <w:r>
              <w:rPr>
                <w:sz w:val="20"/>
              </w:rPr>
              <w:t xml:space="preserve">,</w:t>
            </w:r>
          </w:p>
        </w:tc>
      </w:tr>
      <w:tr>
        <w:tc>
          <w:tcPr>
            <w:gridSpan w:val="6"/>
            <w:tcW w:w="9071" w:type="dxa"/>
            <w:tcBorders>
              <w:top w:val="nil"/>
              <w:left w:val="nil"/>
              <w:bottom w:val="nil"/>
              <w:right w:val="nil"/>
            </w:tcBorders>
          </w:tcPr>
          <w:p>
            <w:pPr>
              <w:pStyle w:val="0"/>
              <w:jc w:val="both"/>
            </w:pPr>
            <w:r>
              <w:rPr>
                <w:sz w:val="20"/>
              </w:rPr>
              <w:t xml:space="preserve">заключили настоящий договор (далее - Договор о предоставлении социальной поддержки) о следующем:</w:t>
            </w:r>
          </w:p>
          <w:p>
            <w:pPr>
              <w:pStyle w:val="0"/>
              <w:ind w:firstLine="283"/>
              <w:jc w:val="both"/>
            </w:pPr>
            <w:r>
              <w:rPr>
                <w:sz w:val="20"/>
              </w:rPr>
              <w:t xml:space="preserve">1. Молодой специалист обязуется:</w:t>
            </w:r>
          </w:p>
          <w:p>
            <w:pPr>
              <w:pStyle w:val="0"/>
              <w:ind w:firstLine="283"/>
              <w:jc w:val="both"/>
            </w:pPr>
            <w:r>
              <w:rPr>
                <w:sz w:val="20"/>
              </w:rPr>
              <w:t xml:space="preserve">1.1. Исполнять обязательства, вытекающие из трудового договора N _____ от "___"________ 20__ года, который заключен между Молодым специалистом и Учреждением (Организацией)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 (далее - Трудовой договор).</w:t>
            </w:r>
          </w:p>
          <w:p>
            <w:pPr>
              <w:pStyle w:val="0"/>
              <w:ind w:firstLine="283"/>
              <w:jc w:val="both"/>
            </w:pPr>
            <w:r>
              <w:rPr>
                <w:sz w:val="20"/>
              </w:rPr>
              <w:t xml:space="preserve">1.2. Не менее чем за две недели до предполагаемой даты расторжения Трудового договора в письменном виде сообщить Учреждению (Организации) и Комитету о намерении досрочно расторгнуть Трудовой договор, либо перейти в другое государственное (муниципальное) учреждение (образовательную организацию) по переводу, либо изменить условие Трудового договора о работе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w:t>
            </w:r>
          </w:p>
          <w:p>
            <w:pPr>
              <w:pStyle w:val="0"/>
              <w:ind w:firstLine="283"/>
              <w:jc w:val="both"/>
            </w:pPr>
            <w:r>
              <w:rPr>
                <w:sz w:val="20"/>
              </w:rPr>
              <w:t xml:space="preserve">1.3. В случае изменения указанных в настоящем договоре реквизитов своего банковского счета, номера телефона и/или почтового адреса в срок не позднее 10 рабочих дней в письменном виде сообщить Учреждению (Организации) и Комитету о таких изменениях.</w:t>
            </w:r>
          </w:p>
          <w:p>
            <w:pPr>
              <w:pStyle w:val="0"/>
              <w:ind w:firstLine="283"/>
              <w:jc w:val="both"/>
            </w:pPr>
            <w:r>
              <w:rPr>
                <w:sz w:val="20"/>
              </w:rPr>
              <w:t xml:space="preserve">1.4. Не предпринимать меры к заключению нового Договора о предоставлении социальной поддержки в течение срока действия настоящего договора и после его прекращения (досрочного расторжения) независимо от оснований его прекращения (расторжения).</w:t>
            </w:r>
          </w:p>
          <w:p>
            <w:pPr>
              <w:pStyle w:val="0"/>
              <w:ind w:firstLine="283"/>
              <w:jc w:val="both"/>
            </w:pPr>
            <w:r>
              <w:rPr>
                <w:sz w:val="20"/>
              </w:rPr>
              <w:t xml:space="preserve">2. Молодой специалист гарантирует, что ранее с ним не заключался Договор о предоставлении социальной поддержки, в том числе с участием другого органа исполнительной власти Ленинградской области и/или государственного (муниципального) учреждения (организации).</w:t>
            </w:r>
          </w:p>
          <w:p>
            <w:pPr>
              <w:pStyle w:val="0"/>
              <w:ind w:firstLine="283"/>
              <w:jc w:val="both"/>
            </w:pPr>
            <w:r>
              <w:rPr>
                <w:sz w:val="20"/>
              </w:rPr>
              <w:t xml:space="preserve">3. Комитет обязуется:</w:t>
            </w:r>
          </w:p>
          <w:p>
            <w:pPr>
              <w:pStyle w:val="0"/>
              <w:ind w:firstLine="283"/>
              <w:jc w:val="both"/>
            </w:pPr>
            <w:r>
              <w:rPr>
                <w:sz w:val="20"/>
              </w:rPr>
              <w:t xml:space="preserve">3.1. В случаях и порядке, определенных </w:t>
            </w:r>
            <w:hyperlink w:history="0" w:anchor="P37" w:tooltip="ПОРЯДОК">
              <w:r>
                <w:rPr>
                  <w:sz w:val="20"/>
                  <w:color w:val="0000ff"/>
                </w:rPr>
                <w:t xml:space="preserve">Порядком</w:t>
              </w:r>
            </w:hyperlink>
            <w:r>
              <w:rPr>
                <w:sz w:val="20"/>
              </w:rPr>
              <w:t xml:space="preserve"> предоставления дополнительной меры социальной поддержки молодых специалистов в Ленинградской области в виде единовременной выплаты, утвержденным постановлением Правительства Ленинградской области (далее - Порядок, Постановление), обеспечить ежегодную единовременную выплату Молодому специалисту в размере 100000 (ста тысяч) рублей путем перечисления указанной суммы на банковский счет Молодого специалиста в течение 30 календарных дней со дня окончания каждого года работы Молодого специалиста по Трудовому договору, исчисленного в соответствии с Порядком.</w:t>
            </w:r>
          </w:p>
          <w:p>
            <w:pPr>
              <w:pStyle w:val="0"/>
              <w:ind w:firstLine="283"/>
              <w:jc w:val="both"/>
            </w:pPr>
            <w:r>
              <w:rPr>
                <w:sz w:val="20"/>
              </w:rPr>
              <w:t xml:space="preserve">3.2. Письменно сообщить Молодому специалисту и Учреждению (Организации) об отмене Постановления или признании судом Постановления противоречащим закону.</w:t>
            </w:r>
          </w:p>
          <w:p>
            <w:pPr>
              <w:pStyle w:val="0"/>
              <w:ind w:firstLine="283"/>
              <w:jc w:val="both"/>
            </w:pPr>
            <w:r>
              <w:rPr>
                <w:sz w:val="20"/>
              </w:rPr>
              <w:t xml:space="preserve">3.3. Подготовить и направить Молодому специалисту и Учреждению (Организации) проект дополнительного соглашения к настоящему договору в следующих случаях:</w:t>
            </w:r>
          </w:p>
          <w:p>
            <w:pPr>
              <w:pStyle w:val="0"/>
              <w:ind w:firstLine="283"/>
              <w:jc w:val="both"/>
            </w:pPr>
            <w:r>
              <w:rPr>
                <w:sz w:val="20"/>
              </w:rPr>
              <w:t xml:space="preserve">при возникновении необходимости замены Комитета другим органом исполнительной власти Ленинградской области;</w:t>
            </w:r>
          </w:p>
          <w:p>
            <w:pPr>
              <w:pStyle w:val="0"/>
              <w:ind w:firstLine="283"/>
              <w:jc w:val="both"/>
            </w:pPr>
            <w:r>
              <w:rPr>
                <w:sz w:val="20"/>
              </w:rPr>
              <w:t xml:space="preserve">при возникновении необходимости замены Учреждения (Организации) другим государственным (муниципальным) учреждением (организацией) в связи с переводом Молодого специалиста или принятием решения о реорганизации Учреждения (Организации), не влекущей утраты статуса государственного (муниципального) учреждения (организации) для работодателя.</w:t>
            </w:r>
          </w:p>
          <w:p>
            <w:pPr>
              <w:pStyle w:val="0"/>
              <w:ind w:firstLine="283"/>
              <w:jc w:val="both"/>
            </w:pPr>
            <w:r>
              <w:rPr>
                <w:sz w:val="20"/>
              </w:rPr>
              <w:t xml:space="preserve">4. Учреждение (Организация) обязуется:</w:t>
            </w:r>
          </w:p>
          <w:p>
            <w:pPr>
              <w:pStyle w:val="0"/>
              <w:ind w:firstLine="283"/>
              <w:jc w:val="both"/>
            </w:pPr>
            <w:r>
              <w:rPr>
                <w:sz w:val="20"/>
              </w:rPr>
              <w:t xml:space="preserve">4.1. Соблюдать свои обязательства, вытекающие из Трудового договора.</w:t>
            </w:r>
          </w:p>
          <w:p>
            <w:pPr>
              <w:pStyle w:val="0"/>
              <w:ind w:firstLine="283"/>
              <w:jc w:val="both"/>
            </w:pPr>
            <w:r>
              <w:rPr>
                <w:sz w:val="20"/>
              </w:rPr>
              <w:t xml:space="preserve">4.2. Ежегодно до 31 августа очередного календарного года письменно сообщать Комитету о действующих Договорах о предоставлении социальной поддержки с участием Учреждения (Организации) и о прогнозе прекращения и/или заключения таких договоров в следующем календарном году.</w:t>
            </w:r>
          </w:p>
          <w:p>
            <w:pPr>
              <w:pStyle w:val="0"/>
              <w:ind w:firstLine="283"/>
              <w:jc w:val="both"/>
            </w:pPr>
            <w:r>
              <w:rPr>
                <w:sz w:val="20"/>
              </w:rPr>
              <w:t xml:space="preserve">4.3. Не позднее чем за пять рабочих дней до даты окончания года работы Молодого специалиста по Трудовому договору, исчисленного в соответствии с Порядком, письменно информировать Комитет об окончании очередного года работы Молодого специалиста.</w:t>
            </w:r>
          </w:p>
          <w:p>
            <w:pPr>
              <w:pStyle w:val="0"/>
              <w:ind w:firstLine="283"/>
              <w:jc w:val="both"/>
            </w:pPr>
            <w:r>
              <w:rPr>
                <w:sz w:val="20"/>
              </w:rPr>
              <w:t xml:space="preserve">4.4. В случае прекращения Трудового договора по любым основаниям незамедлительно в письменном виде сообщать об этом Комитету.</w:t>
            </w:r>
          </w:p>
          <w:p>
            <w:pPr>
              <w:pStyle w:val="0"/>
              <w:ind w:firstLine="283"/>
              <w:jc w:val="both"/>
            </w:pPr>
            <w:r>
              <w:rPr>
                <w:sz w:val="20"/>
              </w:rPr>
              <w:t xml:space="preserve">4.5. В случае принятия решения о ликвидации Учреждения (Организации) либо иного решения, влекущего для Учреждения (Организации) утрату статуса государственного (муниципального) учреждения (организации), письменно сообщить Комитету и представить копию такого решения.</w:t>
            </w:r>
          </w:p>
          <w:p>
            <w:pPr>
              <w:pStyle w:val="0"/>
              <w:ind w:firstLine="283"/>
              <w:jc w:val="both"/>
            </w:pPr>
            <w:r>
              <w:rPr>
                <w:sz w:val="20"/>
              </w:rPr>
              <w:t xml:space="preserve">5. Настоящий договор действует с даты его подписания всеми участниками и до даты зачисления на банковский счет Молодого специалиста 300000 (трехсот тысяч) рублей по совокупности перечислений.</w:t>
            </w:r>
          </w:p>
          <w:p>
            <w:pPr>
              <w:pStyle w:val="0"/>
              <w:ind w:firstLine="283"/>
              <w:jc w:val="both"/>
            </w:pPr>
            <w:r>
              <w:rPr>
                <w:sz w:val="20"/>
              </w:rPr>
              <w:t xml:space="preserve">5.1. Исполнение обязательств по настоящему договору приостанавливается с даты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w:t>
            </w:r>
            <w:hyperlink w:history="0" r:id="rId11" w:tooltip="&quot;Трудовой кодекс Российской Федерации&quot; от 30.12.2001 N 197-ФЗ (ред. от 06.04.2024) {КонсультантПлюс}">
              <w:r>
                <w:rPr>
                  <w:sz w:val="20"/>
                  <w:color w:val="0000ff"/>
                </w:rPr>
                <w:t xml:space="preserve">пункт 1 части 1 статьи 83</w:t>
              </w:r>
            </w:hyperlink>
            <w:r>
              <w:rPr>
                <w:sz w:val="20"/>
              </w:rPr>
              <w:t xml:space="preserve"> Трудового кодекса Российской Федерации) до момента повторного заключения Трудового договора при условии его заключения в течение 30 календарных дней со дня окончания военной службы (альтернативной гражданской службы)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w:t>
            </w:r>
          </w:p>
          <w:p>
            <w:pPr>
              <w:pStyle w:val="0"/>
              <w:ind w:firstLine="283"/>
              <w:jc w:val="both"/>
            </w:pPr>
            <w:r>
              <w:rPr>
                <w:sz w:val="20"/>
              </w:rPr>
              <w:t xml:space="preserve">6. Действие настоящего договора автоматически прекращается досрочно:</w:t>
            </w:r>
          </w:p>
          <w:p>
            <w:pPr>
              <w:pStyle w:val="0"/>
              <w:ind w:firstLine="283"/>
              <w:jc w:val="both"/>
            </w:pPr>
            <w:r>
              <w:rPr>
                <w:sz w:val="20"/>
              </w:rPr>
              <w:t xml:space="preserve">1) с даты прекращения Трудового договора по любым основаниям, кроме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w:t>
            </w:r>
            <w:hyperlink w:history="0" r:id="rId12" w:tooltip="&quot;Трудовой кодекс Российской Федерации&quot; от 30.12.2001 N 197-ФЗ (ред. от 06.04.2024) {КонсультантПлюс}">
              <w:r>
                <w:rPr>
                  <w:sz w:val="20"/>
                  <w:color w:val="0000ff"/>
                </w:rPr>
                <w:t xml:space="preserve">пункт 1 части 1 статьи 83</w:t>
              </w:r>
            </w:hyperlink>
            <w:r>
              <w:rPr>
                <w:sz w:val="20"/>
              </w:rPr>
              <w:t xml:space="preserve"> Трудового кодекса Российской Федерации);</w:t>
            </w:r>
          </w:p>
          <w:p>
            <w:pPr>
              <w:pStyle w:val="0"/>
              <w:ind w:firstLine="283"/>
              <w:jc w:val="both"/>
            </w:pPr>
            <w:r>
              <w:rPr>
                <w:sz w:val="20"/>
              </w:rPr>
              <w:t xml:space="preserve">2) с даты принятия решения о ликвидации Учреждения (Организации);</w:t>
            </w:r>
          </w:p>
          <w:p>
            <w:pPr>
              <w:pStyle w:val="0"/>
              <w:ind w:firstLine="283"/>
              <w:jc w:val="both"/>
            </w:pPr>
            <w:r>
              <w:rPr>
                <w:sz w:val="20"/>
              </w:rPr>
              <w:t xml:space="preserve">3) с даты принятия решения, влекущего для Учреждения (Организации) утрату статуса государственного (муниципального) учреждения (организации);</w:t>
            </w:r>
          </w:p>
          <w:p>
            <w:pPr>
              <w:pStyle w:val="0"/>
              <w:ind w:firstLine="283"/>
              <w:jc w:val="both"/>
            </w:pPr>
            <w:r>
              <w:rPr>
                <w:sz w:val="20"/>
              </w:rPr>
              <w:t xml:space="preserve">4) с даты отмены или признания утратившим силу Постановления;</w:t>
            </w:r>
          </w:p>
          <w:p>
            <w:pPr>
              <w:pStyle w:val="0"/>
              <w:ind w:firstLine="283"/>
              <w:jc w:val="both"/>
            </w:pPr>
            <w:r>
              <w:rPr>
                <w:sz w:val="20"/>
              </w:rPr>
              <w:t xml:space="preserve">5) по истечении 20 рабочих дней с даты получения Учреждением (Организацией) повторного письменного уведомления Комитета о необходимости надлежащим образом выполнять обязательства Учреждения (Организации) по настоящему договору, если в течение указанного срока Учреждение (Организация) не выполнило свои обязательства по настоящему договору;</w:t>
            </w:r>
          </w:p>
          <w:p>
            <w:pPr>
              <w:pStyle w:val="0"/>
              <w:ind w:firstLine="283"/>
              <w:jc w:val="both"/>
            </w:pPr>
            <w:r>
              <w:rPr>
                <w:sz w:val="20"/>
              </w:rPr>
              <w:t xml:space="preserve">6) несоблюдения молодым специалистом срока заключения трудового договора, указанного в </w:t>
            </w:r>
            <w:hyperlink w:history="0" w:anchor="P84" w:tooltip="14. Исполнение обязательств по договору о социальной поддержке приостанавливается с даты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до момента заключения нового трудового договора.">
              <w:r>
                <w:rPr>
                  <w:sz w:val="20"/>
                  <w:color w:val="0000ff"/>
                </w:rPr>
                <w:t xml:space="preserve">пункте 14</w:t>
              </w:r>
            </w:hyperlink>
            <w:r>
              <w:rPr>
                <w:sz w:val="20"/>
              </w:rPr>
              <w:t xml:space="preserve"> Порядка.</w:t>
            </w:r>
          </w:p>
          <w:p>
            <w:pPr>
              <w:pStyle w:val="0"/>
              <w:ind w:firstLine="283"/>
              <w:jc w:val="both"/>
            </w:pPr>
            <w:r>
              <w:rPr>
                <w:sz w:val="20"/>
              </w:rPr>
              <w:t xml:space="preserve">7. Проект дополнительного соглашения к настоящему договору подготавливается и направляется Комитетом другим участникам настоящего договора, которые обязаны в течение 10 рабочих дней с даты их получения подписать дополнительное соглашение и направить его в Комитет либо в этот же срок направить другим участникам настоящего договора свои письменные возражения.</w:t>
            </w:r>
          </w:p>
          <w:p>
            <w:pPr>
              <w:pStyle w:val="0"/>
              <w:ind w:firstLine="283"/>
              <w:jc w:val="both"/>
            </w:pPr>
            <w:r>
              <w:rPr>
                <w:sz w:val="20"/>
              </w:rPr>
              <w:t xml:space="preserve">8. Письменные возражения, сообщения и уведомления, предусмотренные настоящим договором, а также прилагаемые к ним документы направляются всем участникам настоящего договора по почте или вручаются лично.</w:t>
            </w:r>
          </w:p>
          <w:p>
            <w:pPr>
              <w:pStyle w:val="0"/>
              <w:ind w:firstLine="283"/>
              <w:jc w:val="both"/>
            </w:pPr>
            <w:r>
              <w:rPr>
                <w:sz w:val="20"/>
              </w:rPr>
              <w:t xml:space="preserve">9. Дополнительные соглашения к настоящему договору и их проекты, а также письменные уведомления, предусмотренные настоящим договором, направляются участникам заказным письмом с уведомлением о вручении или вручаются лично.</w:t>
            </w:r>
          </w:p>
          <w:p>
            <w:pPr>
              <w:pStyle w:val="0"/>
              <w:ind w:firstLine="283"/>
              <w:jc w:val="both"/>
            </w:pPr>
            <w:r>
              <w:rPr>
                <w:sz w:val="20"/>
              </w:rPr>
              <w:t xml:space="preserve">10. Дополнительные соглашения к настоящему договору оформляются в трех экземплярах и являются его неотъемлемой частью с даты их подписания всеми участниками.</w:t>
            </w:r>
          </w:p>
          <w:p>
            <w:pPr>
              <w:pStyle w:val="0"/>
              <w:ind w:firstLine="283"/>
              <w:jc w:val="both"/>
            </w:pPr>
            <w:r>
              <w:rPr>
                <w:sz w:val="20"/>
              </w:rPr>
              <w:t xml:space="preserve">11. Настоящий договор составлен в трех экземплярах - по одному для каждого участника.</w:t>
            </w:r>
          </w:p>
          <w:p>
            <w:pPr>
              <w:pStyle w:val="0"/>
              <w:ind w:firstLine="283"/>
              <w:jc w:val="both"/>
            </w:pPr>
            <w:r>
              <w:rPr>
                <w:sz w:val="20"/>
              </w:rPr>
              <w:t xml:space="preserve">12. Адреса участников настоящего договора:</w:t>
            </w:r>
          </w:p>
          <w:p>
            <w:pPr>
              <w:pStyle w:val="0"/>
              <w:ind w:firstLine="283"/>
              <w:jc w:val="both"/>
            </w:pPr>
            <w:r>
              <w:rPr>
                <w:sz w:val="20"/>
              </w:rPr>
              <w:t xml:space="preserve">12.1. Почтовый адрес, телефон Молодого специалиста:</w:t>
            </w:r>
          </w:p>
        </w:tc>
      </w:tr>
      <w:tr>
        <w:tc>
          <w:tcPr>
            <w:gridSpan w:val="6"/>
            <w:tcW w:w="9071" w:type="dxa"/>
            <w:tcBorders>
              <w:top w:val="nil"/>
              <w:left w:val="nil"/>
              <w:bottom w:val="single" w:sz="4"/>
              <w:right w:val="nil"/>
            </w:tcBorders>
          </w:tcPr>
          <w:p>
            <w:pPr>
              <w:pStyle w:val="0"/>
            </w:pPr>
            <w:r>
              <w:rPr>
                <w:sz w:val="20"/>
              </w:rPr>
            </w:r>
          </w:p>
        </w:tc>
      </w:tr>
      <w:tr>
        <w:tblPrEx>
          <w:tblBorders>
            <w:insideH w:val="single" w:sz="4"/>
          </w:tblBorders>
        </w:tblPrEx>
        <w:tc>
          <w:tcPr>
            <w:gridSpan w:val="5"/>
            <w:tcW w:w="8726" w:type="dxa"/>
            <w:tcBorders>
              <w:top w:val="single" w:sz="4"/>
              <w:left w:val="nil"/>
              <w:bottom w:val="single" w:sz="4"/>
              <w:right w:val="nil"/>
            </w:tcBorders>
          </w:tcPr>
          <w:p>
            <w:pPr>
              <w:pStyle w:val="0"/>
            </w:pPr>
            <w:r>
              <w:rPr>
                <w:sz w:val="20"/>
              </w:rPr>
            </w:r>
          </w:p>
        </w:tc>
        <w:tc>
          <w:tcPr>
            <w:tcW w:w="345" w:type="dxa"/>
            <w:tcBorders>
              <w:top w:val="single" w:sz="4"/>
              <w:left w:val="nil"/>
              <w:bottom w:val="nil"/>
              <w:right w:val="nil"/>
            </w:tcBorders>
          </w:tcPr>
          <w:p>
            <w:pPr>
              <w:pStyle w:val="0"/>
              <w:jc w:val="both"/>
            </w:pPr>
            <w:r>
              <w:rPr>
                <w:sz w:val="20"/>
              </w:rPr>
              <w:t xml:space="preserve">.</w:t>
            </w:r>
          </w:p>
        </w:tc>
      </w:tr>
      <w:tr>
        <w:tc>
          <w:tcPr>
            <w:gridSpan w:val="6"/>
            <w:tcW w:w="9071" w:type="dxa"/>
            <w:tcBorders>
              <w:top w:val="nil"/>
              <w:left w:val="nil"/>
              <w:bottom w:val="nil"/>
              <w:right w:val="nil"/>
            </w:tcBorders>
          </w:tcPr>
          <w:p>
            <w:pPr>
              <w:pStyle w:val="0"/>
              <w:ind w:firstLine="283"/>
              <w:jc w:val="both"/>
            </w:pPr>
            <w:r>
              <w:rPr>
                <w:sz w:val="20"/>
              </w:rPr>
              <w:t xml:space="preserve">12.2. Почтовый адрес, телефон Учреждения (Организации):</w:t>
            </w:r>
          </w:p>
        </w:tc>
      </w:tr>
      <w:tr>
        <w:tc>
          <w:tcPr>
            <w:gridSpan w:val="6"/>
            <w:tcW w:w="9071" w:type="dxa"/>
            <w:tcBorders>
              <w:top w:val="nil"/>
              <w:left w:val="nil"/>
              <w:bottom w:val="single" w:sz="4"/>
              <w:right w:val="nil"/>
            </w:tcBorders>
          </w:tcPr>
          <w:p>
            <w:pPr>
              <w:pStyle w:val="0"/>
            </w:pPr>
            <w:r>
              <w:rPr>
                <w:sz w:val="20"/>
              </w:rPr>
            </w:r>
          </w:p>
        </w:tc>
      </w:tr>
      <w:tr>
        <w:tblPrEx>
          <w:tblBorders>
            <w:insideH w:val="single" w:sz="4"/>
          </w:tblBorders>
        </w:tblPrEx>
        <w:tc>
          <w:tcPr>
            <w:gridSpan w:val="5"/>
            <w:tcW w:w="8726" w:type="dxa"/>
            <w:tcBorders>
              <w:top w:val="single" w:sz="4"/>
              <w:left w:val="nil"/>
              <w:bottom w:val="single" w:sz="4"/>
              <w:right w:val="nil"/>
            </w:tcBorders>
          </w:tcPr>
          <w:p>
            <w:pPr>
              <w:pStyle w:val="0"/>
            </w:pPr>
            <w:r>
              <w:rPr>
                <w:sz w:val="20"/>
              </w:rPr>
            </w:r>
          </w:p>
        </w:tc>
        <w:tc>
          <w:tcPr>
            <w:tcW w:w="345" w:type="dxa"/>
            <w:tcBorders>
              <w:top w:val="single" w:sz="4"/>
              <w:left w:val="nil"/>
              <w:bottom w:val="nil"/>
              <w:right w:val="nil"/>
            </w:tcBorders>
          </w:tcPr>
          <w:p>
            <w:pPr>
              <w:pStyle w:val="0"/>
              <w:jc w:val="both"/>
            </w:pPr>
            <w:r>
              <w:rPr>
                <w:sz w:val="20"/>
              </w:rPr>
              <w:t xml:space="preserve">.</w:t>
            </w:r>
          </w:p>
        </w:tc>
      </w:tr>
      <w:tr>
        <w:tc>
          <w:tcPr>
            <w:gridSpan w:val="6"/>
            <w:tcW w:w="9071" w:type="dxa"/>
            <w:vAlign w:val="bottom"/>
            <w:tcBorders>
              <w:top w:val="nil"/>
              <w:left w:val="nil"/>
              <w:bottom w:val="nil"/>
              <w:right w:val="nil"/>
            </w:tcBorders>
          </w:tcPr>
          <w:p>
            <w:pPr>
              <w:pStyle w:val="0"/>
              <w:ind w:firstLine="283"/>
              <w:jc w:val="both"/>
            </w:pPr>
            <w:r>
              <w:rPr>
                <w:sz w:val="20"/>
              </w:rPr>
              <w:t xml:space="preserve">12.3. Почтовый адрес Комитета &lt;*&gt;:</w:t>
            </w:r>
          </w:p>
        </w:tc>
      </w:tr>
      <w:tr>
        <w:tc>
          <w:tcPr>
            <w:gridSpan w:val="6"/>
            <w:tcW w:w="9071" w:type="dxa"/>
            <w:tcBorders>
              <w:top w:val="nil"/>
              <w:left w:val="nil"/>
              <w:bottom w:val="single" w:sz="4"/>
              <w:right w:val="nil"/>
            </w:tcBorders>
          </w:tcPr>
          <w:p>
            <w:pPr>
              <w:pStyle w:val="0"/>
            </w:pPr>
            <w:r>
              <w:rPr>
                <w:sz w:val="20"/>
              </w:rPr>
            </w:r>
          </w:p>
        </w:tc>
      </w:tr>
      <w:tr>
        <w:tblPrEx>
          <w:tblBorders>
            <w:insideH w:val="single" w:sz="4"/>
          </w:tblBorders>
        </w:tblPrEx>
        <w:tc>
          <w:tcPr>
            <w:gridSpan w:val="5"/>
            <w:tcW w:w="8726" w:type="dxa"/>
            <w:tcBorders>
              <w:top w:val="single" w:sz="4"/>
              <w:left w:val="nil"/>
              <w:bottom w:val="single" w:sz="4"/>
              <w:right w:val="nil"/>
            </w:tcBorders>
          </w:tcPr>
          <w:p>
            <w:pPr>
              <w:pStyle w:val="0"/>
            </w:pPr>
            <w:r>
              <w:rPr>
                <w:sz w:val="20"/>
              </w:rPr>
            </w:r>
          </w:p>
        </w:tc>
        <w:tc>
          <w:tcPr>
            <w:tcW w:w="345" w:type="dxa"/>
            <w:tcBorders>
              <w:top w:val="single" w:sz="4"/>
              <w:left w:val="nil"/>
              <w:bottom w:val="nil"/>
              <w:right w:val="nil"/>
            </w:tcBorders>
          </w:tcPr>
          <w:p>
            <w:pPr>
              <w:pStyle w:val="0"/>
              <w:jc w:val="both"/>
            </w:pPr>
            <w:r>
              <w:rPr>
                <w:sz w:val="20"/>
              </w:rPr>
              <w:t xml:space="preserve">.</w:t>
            </w:r>
          </w:p>
        </w:tc>
      </w:tr>
      <w:tr>
        <w:tc>
          <w:tcPr>
            <w:gridSpan w:val="6"/>
            <w:tcW w:w="9071" w:type="dxa"/>
            <w:tcBorders>
              <w:top w:val="nil"/>
              <w:left w:val="nil"/>
              <w:bottom w:val="nil"/>
              <w:right w:val="nil"/>
            </w:tcBorders>
          </w:tcPr>
          <w:p>
            <w:pPr>
              <w:pStyle w:val="0"/>
              <w:ind w:firstLine="283"/>
              <w:jc w:val="both"/>
            </w:pPr>
            <w:r>
              <w:rPr>
                <w:sz w:val="20"/>
              </w:rPr>
              <w:t xml:space="preserve">Фамилия, имя, отчество, телефон ответственного исполнителя &lt;*&gt;</w:t>
            </w:r>
          </w:p>
        </w:tc>
      </w:tr>
      <w:tr>
        <w:tc>
          <w:tcPr>
            <w:gridSpan w:val="6"/>
            <w:tcW w:w="9071" w:type="dxa"/>
            <w:tcBorders>
              <w:top w:val="nil"/>
              <w:left w:val="nil"/>
              <w:bottom w:val="single" w:sz="4"/>
              <w:right w:val="nil"/>
            </w:tcBorders>
          </w:tcPr>
          <w:p>
            <w:pPr>
              <w:pStyle w:val="0"/>
            </w:pPr>
            <w:r>
              <w:rPr>
                <w:sz w:val="20"/>
              </w:rPr>
            </w:r>
          </w:p>
        </w:tc>
      </w:tr>
      <w:tr>
        <w:tblPrEx>
          <w:tblBorders>
            <w:insideH w:val="single" w:sz="4"/>
          </w:tblBorders>
        </w:tblPrEx>
        <w:tc>
          <w:tcPr>
            <w:gridSpan w:val="5"/>
            <w:tcW w:w="8726" w:type="dxa"/>
            <w:tcBorders>
              <w:top w:val="single" w:sz="4"/>
              <w:left w:val="nil"/>
              <w:bottom w:val="single" w:sz="4"/>
              <w:right w:val="nil"/>
            </w:tcBorders>
          </w:tcPr>
          <w:p>
            <w:pPr>
              <w:pStyle w:val="0"/>
            </w:pPr>
            <w:r>
              <w:rPr>
                <w:sz w:val="20"/>
              </w:rPr>
            </w:r>
          </w:p>
        </w:tc>
        <w:tc>
          <w:tcPr>
            <w:tcW w:w="345" w:type="dxa"/>
            <w:tcBorders>
              <w:top w:val="single" w:sz="4"/>
              <w:left w:val="nil"/>
              <w:bottom w:val="nil"/>
              <w:right w:val="nil"/>
            </w:tcBorders>
          </w:tcPr>
          <w:p>
            <w:pPr>
              <w:pStyle w:val="0"/>
              <w:jc w:val="both"/>
            </w:pPr>
            <w:r>
              <w:rPr>
                <w:sz w:val="20"/>
              </w:rPr>
              <w:t xml:space="preserve">.</w:t>
            </w:r>
          </w:p>
        </w:tc>
      </w:tr>
      <w:tr>
        <w:tc>
          <w:tcPr>
            <w:gridSpan w:val="6"/>
            <w:tcW w:w="9071" w:type="dxa"/>
            <w:tcBorders>
              <w:top w:val="nil"/>
              <w:left w:val="nil"/>
              <w:bottom w:val="nil"/>
              <w:right w:val="nil"/>
            </w:tcBorders>
          </w:tcPr>
          <w:p>
            <w:pPr>
              <w:pStyle w:val="0"/>
            </w:pPr>
            <w:r>
              <w:rPr>
                <w:sz w:val="20"/>
              </w:rPr>
            </w:r>
          </w:p>
        </w:tc>
      </w:tr>
      <w:tr>
        <w:tc>
          <w:tcPr>
            <w:gridSpan w:val="6"/>
            <w:tcW w:w="9071" w:type="dxa"/>
            <w:tcBorders>
              <w:top w:val="nil"/>
              <w:left w:val="nil"/>
              <w:bottom w:val="nil"/>
              <w:right w:val="nil"/>
            </w:tcBorders>
          </w:tcPr>
          <w:p>
            <w:pPr>
              <w:pStyle w:val="0"/>
              <w:ind w:firstLine="283"/>
              <w:jc w:val="both"/>
            </w:pPr>
            <w:r>
              <w:rPr>
                <w:sz w:val="20"/>
              </w:rPr>
              <w:t xml:space="preserve">13. К настоящему договору прилагаются:</w:t>
            </w:r>
          </w:p>
          <w:p>
            <w:pPr>
              <w:pStyle w:val="0"/>
              <w:ind w:firstLine="283"/>
              <w:jc w:val="both"/>
            </w:pPr>
            <w:r>
              <w:rPr>
                <w:sz w:val="20"/>
              </w:rPr>
              <w:t xml:space="preserve">1) заверенная Учреждением (Организацией) копия Трудового договора;</w:t>
            </w:r>
          </w:p>
          <w:p>
            <w:pPr>
              <w:pStyle w:val="0"/>
              <w:ind w:firstLine="283"/>
              <w:jc w:val="both"/>
            </w:pPr>
            <w:r>
              <w:rPr>
                <w:sz w:val="20"/>
              </w:rPr>
              <w:t xml:space="preserve">2) выписка из Единого государственного реестра юридических лиц, выданная Учреждению (Организации) не позднее чем за 30 рабочих дней до даты заключения настоящего договора;</w:t>
            </w:r>
          </w:p>
          <w:p>
            <w:pPr>
              <w:pStyle w:val="0"/>
              <w:ind w:firstLine="283"/>
              <w:jc w:val="both"/>
            </w:pPr>
            <w:r>
              <w:rPr>
                <w:sz w:val="20"/>
              </w:rPr>
              <w:t xml:space="preserve">3) заверенная Учреждением (Организацией) копия устава Учреждения (Организации);</w:t>
            </w:r>
          </w:p>
          <w:p>
            <w:pPr>
              <w:pStyle w:val="0"/>
              <w:ind w:firstLine="283"/>
              <w:jc w:val="both"/>
            </w:pPr>
            <w:r>
              <w:rPr>
                <w:sz w:val="20"/>
              </w:rPr>
              <w:t xml:space="preserve">4) заверенная Учреждением (Организацией) копия трудовой книжки и(или) сведения о трудовой деятельности Молодого специалиста, предоставляемые из информационных ресурсов Фонда пенсионного и социального страхования Российской Федерации, по форме СТД-СФР;</w:t>
            </w:r>
          </w:p>
          <w:p>
            <w:pPr>
              <w:pStyle w:val="0"/>
              <w:ind w:firstLine="283"/>
              <w:jc w:val="both"/>
            </w:pPr>
            <w:r>
              <w:rPr>
                <w:sz w:val="20"/>
              </w:rPr>
              <w:t xml:space="preserve">5) заверенная Учреждением (Организацией) копия заявления о предоставлении дополнительной меры социальной поддержки;</w:t>
            </w:r>
          </w:p>
          <w:p>
            <w:pPr>
              <w:pStyle w:val="0"/>
              <w:ind w:firstLine="283"/>
              <w:jc w:val="both"/>
            </w:pPr>
            <w:r>
              <w:rPr>
                <w:sz w:val="20"/>
              </w:rPr>
              <w:t xml:space="preserve">6) заверенная Учреждением (Организацией) копия документа государственного образца о среднем профессиональном образовании или о высшем образовании (высшем профессиональном образовании), который выдан Молодому специалисту после 1 января 2008 года;</w:t>
            </w:r>
          </w:p>
          <w:p>
            <w:pPr>
              <w:pStyle w:val="0"/>
              <w:ind w:firstLine="283"/>
              <w:jc w:val="both"/>
            </w:pPr>
            <w:r>
              <w:rPr>
                <w:sz w:val="20"/>
              </w:rPr>
              <w:t xml:space="preserve">7) заверенная Учреждением (Организацией) копия паспорта Молодого специалиста;</w:t>
            </w:r>
          </w:p>
          <w:p>
            <w:pPr>
              <w:pStyle w:val="0"/>
              <w:ind w:firstLine="283"/>
              <w:jc w:val="both"/>
            </w:pPr>
            <w:r>
              <w:rPr>
                <w:sz w:val="20"/>
              </w:rPr>
              <w:t xml:space="preserve">8) заверенная Учреждением (Организацией) копия реквизитов банковского счета Молодого специалиста;</w:t>
            </w:r>
          </w:p>
          <w:p>
            <w:pPr>
              <w:pStyle w:val="0"/>
              <w:ind w:firstLine="283"/>
              <w:jc w:val="both"/>
            </w:pPr>
            <w:r>
              <w:rPr>
                <w:sz w:val="20"/>
              </w:rPr>
              <w:t xml:space="preserve">9) заверенная Учреждением (Организацией) копия свидетельства о постановке на учет физического лица в налоговом органе на территории Российской Федерации.</w:t>
            </w:r>
          </w:p>
          <w:p>
            <w:pPr>
              <w:pStyle w:val="0"/>
              <w:ind w:firstLine="283"/>
              <w:jc w:val="both"/>
            </w:pPr>
            <w:r>
              <w:rPr>
                <w:sz w:val="20"/>
              </w:rPr>
              <w:t xml:space="preserve">14. Подписи участников настоящего договора:</w:t>
            </w:r>
          </w:p>
        </w:tc>
      </w:tr>
    </w:tbl>
    <w:p>
      <w:pPr>
        <w:pStyle w:val="0"/>
      </w:pPr>
      <w:r>
        <w:rPr>
          <w:sz w:val="20"/>
        </w:rPr>
      </w:r>
    </w:p>
    <w:tbl>
      <w:tblPr>
        <w:tblInd w:w="0" w:type="dxa"/>
        <w:tblLayout w:type="fixed"/>
        <w:tblCellMar>
          <w:top w:w="102" w:type="dxa"/>
          <w:left w:w="62" w:type="dxa"/>
          <w:bottom w:w="102" w:type="dxa"/>
          <w:right w:w="62" w:type="dxa"/>
        </w:tblCellMar>
      </w:tblPr>
      <w:tblGrid>
        <w:gridCol w:w="2778"/>
        <w:gridCol w:w="340"/>
        <w:gridCol w:w="2778"/>
        <w:gridCol w:w="340"/>
        <w:gridCol w:w="2835"/>
      </w:tblGrid>
      <w:tr>
        <w:tc>
          <w:tcPr>
            <w:tcW w:w="2778" w:type="dxa"/>
            <w:tcBorders>
              <w:top w:val="nil"/>
              <w:left w:val="nil"/>
              <w:bottom w:val="nil"/>
              <w:right w:val="nil"/>
            </w:tcBorders>
          </w:tcPr>
          <w:p>
            <w:pPr>
              <w:pStyle w:val="0"/>
              <w:jc w:val="center"/>
            </w:pPr>
            <w:r>
              <w:rPr>
                <w:sz w:val="20"/>
              </w:rPr>
              <w:t xml:space="preserve">Молодой специалист</w:t>
            </w:r>
          </w:p>
        </w:tc>
        <w:tc>
          <w:tcPr>
            <w:tcW w:w="340"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jc w:val="center"/>
            </w:pPr>
            <w:r>
              <w:rPr>
                <w:sz w:val="20"/>
              </w:rPr>
              <w:t xml:space="preserve">За Учреждение</w:t>
            </w:r>
          </w:p>
        </w:tc>
        <w:tc>
          <w:tcPr>
            <w:tcW w:w="340"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jc w:val="center"/>
            </w:pPr>
            <w:r>
              <w:rPr>
                <w:sz w:val="20"/>
              </w:rPr>
              <w:t xml:space="preserve">За Комитет</w:t>
            </w:r>
          </w:p>
        </w:tc>
      </w:tr>
      <w:tr>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35" w:type="dxa"/>
            <w:tcBorders>
              <w:top w:val="nil"/>
              <w:left w:val="nil"/>
              <w:bottom w:val="single" w:sz="4"/>
              <w:right w:val="nil"/>
            </w:tcBorders>
          </w:tcPr>
          <w:p>
            <w:pPr>
              <w:pStyle w:val="0"/>
            </w:pPr>
            <w:r>
              <w:rPr>
                <w:sz w:val="20"/>
              </w:rPr>
            </w:r>
          </w:p>
        </w:tc>
      </w:tr>
      <w:tr>
        <w:tc>
          <w:tcPr>
            <w:tcW w:w="277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(подпись)</w:t>
            </w:r>
          </w:p>
        </w:tc>
      </w:tr>
      <w:tr>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35" w:type="dxa"/>
            <w:tcBorders>
              <w:top w:val="nil"/>
              <w:left w:val="nil"/>
              <w:bottom w:val="single" w:sz="4"/>
              <w:right w:val="nil"/>
            </w:tcBorders>
          </w:tcPr>
          <w:p>
            <w:pPr>
              <w:pStyle w:val="0"/>
            </w:pPr>
            <w:r>
              <w:rPr>
                <w:sz w:val="20"/>
              </w:rPr>
            </w:r>
          </w:p>
        </w:tc>
      </w:tr>
      <w:tr>
        <w:tc>
          <w:tcPr>
            <w:tcW w:w="2778" w:type="dxa"/>
            <w:tcBorders>
              <w:top w:val="single" w:sz="4"/>
              <w:left w:val="nil"/>
              <w:bottom w:val="nil"/>
              <w:right w:val="nil"/>
            </w:tcBorders>
          </w:tcPr>
          <w:p>
            <w:pPr>
              <w:pStyle w:val="0"/>
              <w:jc w:val="center"/>
            </w:pPr>
            <w:r>
              <w:rPr>
                <w:sz w:val="20"/>
              </w:rPr>
              <w:t xml:space="preserve">(фамилия, инициалы)</w:t>
            </w:r>
          </w:p>
        </w:tc>
        <w:tc>
          <w:tcPr>
            <w:tcW w:w="34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(должность, фамилия, инициалы)</w:t>
            </w:r>
          </w:p>
        </w:tc>
        <w:tc>
          <w:tcPr>
            <w:tcW w:w="340"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(должность, фамилия, инициалы)</w:t>
            </w:r>
          </w:p>
        </w:tc>
      </w:tr>
      <w:tr>
        <w:tc>
          <w:tcPr>
            <w:tcW w:w="2778"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pPr>
            <w:r>
              <w:rPr>
                <w:sz w:val="20"/>
              </w:rPr>
            </w:r>
          </w:p>
        </w:tc>
      </w:tr>
      <w:tr>
        <w:tc>
          <w:tcPr>
            <w:tcW w:w="2778"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jc w:val="center"/>
            </w:pPr>
            <w:r>
              <w:rPr>
                <w:sz w:val="20"/>
              </w:rPr>
              <w:t xml:space="preserve">Место печати</w:t>
            </w:r>
          </w:p>
        </w:tc>
        <w:tc>
          <w:tcPr>
            <w:tcW w:w="340"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jc w:val="center"/>
            </w:pPr>
            <w:r>
              <w:rPr>
                <w:sz w:val="20"/>
              </w:rPr>
              <w:t xml:space="preserve">Место печати</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Позиции заполняются Комитетом.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3</w:t>
      </w:r>
    </w:p>
    <w:p>
      <w:pPr>
        <w:pStyle w:val="0"/>
        <w:jc w:val="right"/>
      </w:pPr>
      <w:r>
        <w:rPr>
          <w:sz w:val="20"/>
        </w:rPr>
        <w:t xml:space="preserve">к постановлению Правительства</w:t>
      </w:r>
    </w:p>
    <w:p>
      <w:pPr>
        <w:pStyle w:val="0"/>
        <w:jc w:val="right"/>
      </w:pPr>
      <w:r>
        <w:rPr>
          <w:sz w:val="20"/>
        </w:rPr>
        <w:t xml:space="preserve">Ленинградской области</w:t>
      </w:r>
    </w:p>
    <w:p>
      <w:pPr>
        <w:pStyle w:val="0"/>
        <w:jc w:val="right"/>
      </w:pPr>
      <w:r>
        <w:rPr>
          <w:sz w:val="20"/>
        </w:rPr>
        <w:t xml:space="preserve">от 29.12.2023 N 985</w:t>
      </w:r>
    </w:p>
    <w:p>
      <w:pPr>
        <w:pStyle w:val="0"/>
        <w:jc w:val="right"/>
      </w:pPr>
      <w:r>
        <w:rPr>
          <w:sz w:val="20"/>
        </w:rPr>
      </w:r>
    </w:p>
    <w:bookmarkStart w:id="270" w:name="P270"/>
    <w:bookmarkEnd w:id="270"/>
    <w:p>
      <w:pPr>
        <w:pStyle w:val="2"/>
        <w:jc w:val="center"/>
      </w:pPr>
      <w:r>
        <w:rPr>
          <w:sz w:val="20"/>
        </w:rPr>
        <w:t xml:space="preserve">ПЕРЕЧЕНЬ</w:t>
      </w:r>
    </w:p>
    <w:p>
      <w:pPr>
        <w:pStyle w:val="2"/>
        <w:jc w:val="center"/>
      </w:pPr>
      <w:r>
        <w:rPr>
          <w:sz w:val="20"/>
        </w:rPr>
        <w:t xml:space="preserve">ПОСТАНОВЛЕНИЙ ПРАВИТЕЛЬСТВА ЛЕНИНГРАДСКОЙ ОБЛАСТИ, КОТОРЫЕ</w:t>
      </w:r>
    </w:p>
    <w:p>
      <w:pPr>
        <w:pStyle w:val="2"/>
        <w:jc w:val="center"/>
      </w:pPr>
      <w:r>
        <w:rPr>
          <w:sz w:val="20"/>
        </w:rPr>
        <w:t xml:space="preserve">ПРИЗНАЮТСЯ УТРАТИВШИМИ СИЛУ ПОЛНОСТЬЮ ИЛИ ЧАСТИЧНО</w:t>
      </w:r>
    </w:p>
    <w:p>
      <w:pPr>
        <w:pStyle w:val="0"/>
        <w:ind w:firstLine="540"/>
        <w:jc w:val="both"/>
      </w:pPr>
      <w:r>
        <w:rPr>
          <w:sz w:val="20"/>
        </w:rPr>
      </w:r>
    </w:p>
    <w:p>
      <w:pPr>
        <w:pStyle w:val="0"/>
        <w:ind w:firstLine="540"/>
        <w:jc w:val="both"/>
      </w:pPr>
      <w:r>
        <w:rPr>
          <w:sz w:val="20"/>
        </w:rPr>
        <w:t xml:space="preserve">1. </w:t>
      </w:r>
      <w:hyperlink w:history="0" r:id="rId13" w:tooltip="Постановление Правительства Ленинградской области от 28.12.2007 N 339 (ред. от 19.07.2022) &quot;О социальной поддержке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28 декабря 2007 года N 339 "О социальной поддержке молодых специалистов в Ленинградской области".</w:t>
      </w:r>
    </w:p>
    <w:p>
      <w:pPr>
        <w:pStyle w:val="0"/>
        <w:spacing w:before="200" w:line-rule="auto"/>
        <w:ind w:firstLine="540"/>
        <w:jc w:val="both"/>
      </w:pPr>
      <w:r>
        <w:rPr>
          <w:sz w:val="20"/>
        </w:rPr>
        <w:t xml:space="preserve">2. </w:t>
      </w:r>
      <w:hyperlink w:history="0" r:id="rId14" w:tooltip="Постановление Правительства Ленинградской области от 07.04.2008 N 70 &quot;О внесении изменений в постановление Правительства Ленинградской области от 28 декабря 2007 года N 339 &quot;О социальной поддержке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7 апреля 2008 года N 70 "О внесении изменений в постановление Правительства Ленинградской области от 28 декабря 2007 года N 339 "О социальной поддержке молодых специалистов в Ленинградской области".</w:t>
      </w:r>
    </w:p>
    <w:p>
      <w:pPr>
        <w:pStyle w:val="0"/>
        <w:spacing w:before="200" w:line-rule="auto"/>
        <w:ind w:firstLine="540"/>
        <w:jc w:val="both"/>
      </w:pPr>
      <w:r>
        <w:rPr>
          <w:sz w:val="20"/>
        </w:rPr>
        <w:t xml:space="preserve">3. </w:t>
      </w:r>
      <w:hyperlink w:history="0" r:id="rId15" w:tooltip="Постановление Правительства Ленинградской области от 07.04.2008 N 71 (ред. от 10.11.2023) &quot;Об утверждении Положения о порядке осуществления мер социальной поддержки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7 апреля 2008 года N 71 "Об утверждении Положения о порядке осуществления мер социальной поддержки молодых специалистов в Ленинградской области".</w:t>
      </w:r>
    </w:p>
    <w:p>
      <w:pPr>
        <w:pStyle w:val="0"/>
        <w:spacing w:before="200" w:line-rule="auto"/>
        <w:ind w:firstLine="540"/>
        <w:jc w:val="both"/>
      </w:pPr>
      <w:r>
        <w:rPr>
          <w:sz w:val="20"/>
        </w:rPr>
        <w:t xml:space="preserve">4. </w:t>
      </w:r>
      <w:hyperlink w:history="0" r:id="rId16" w:tooltip="Постановление Правительства Ленинградской области от 27.01.2009 N 10 &quot;О внесении изменения в постановление Правительства Ленинградской области от 28 декабря 2007 года N 339 &quot;О социальной поддержке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27 января 2009 года N 10 "О внесении изменения в постановление Правительства Ленинградской области от 28 декабря 2007 года N 339 "О социальной поддержке молодых специалистов в Ленинградской области".</w:t>
      </w:r>
    </w:p>
    <w:p>
      <w:pPr>
        <w:pStyle w:val="0"/>
        <w:spacing w:before="200" w:line-rule="auto"/>
        <w:ind w:firstLine="540"/>
        <w:jc w:val="both"/>
      </w:pPr>
      <w:r>
        <w:rPr>
          <w:sz w:val="20"/>
        </w:rPr>
        <w:t xml:space="preserve">5. </w:t>
      </w:r>
      <w:hyperlink w:history="0" r:id="rId17" w:tooltip="Постановление Правительства Ленинградской области от 16.04.2009 N 103 &quot;О внесении изменений в постановление Правительства Ленинградской области от 7 апреля 2008 года N 71 &quot;Об утверждении Положения о порядке осуществления мер социальной поддержки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16 апреля 2009 года N 103 "О внесении изменений в постановление Правительства Ленинградской области от 7 апреля 2008 года N 71 "Об утверждении Положения о порядке осуществления мер социальной поддержки молодых специалистов в Ленинградской области".</w:t>
      </w:r>
    </w:p>
    <w:p>
      <w:pPr>
        <w:pStyle w:val="0"/>
        <w:spacing w:before="200" w:line-rule="auto"/>
        <w:ind w:firstLine="540"/>
        <w:jc w:val="both"/>
      </w:pPr>
      <w:r>
        <w:rPr>
          <w:sz w:val="20"/>
        </w:rPr>
        <w:t xml:space="preserve">6. </w:t>
      </w:r>
      <w:hyperlink w:history="0" r:id="rId18" w:tooltip="Постановление Правительства Ленинградской области от 07.03.2012 N 68 &quot;О внесении изменений в постановления Правительства Ленинградской области от 28 декабря 2007 года N 339 &quot;О социальной поддержке молодых специалистов в Ленинградской области&quot; и от 7 апреля 2008 года N 71 &quot;Об утверждении Положения о порядке осуществления мер социальной поддержки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7 марта 2012 года N 68 "О внесении изменений в постановления Правительства Ленинградской области от 28 декабря 2007 года N 339 "О социальной поддержке молодых специалистов в Ленинградской области" и от 7 апреля 2008 года N 71 "Об утверждении Положения о порядке осуществления мер социальной поддержки молодых специалистов в Ленинградской области".</w:t>
      </w:r>
    </w:p>
    <w:p>
      <w:pPr>
        <w:pStyle w:val="0"/>
        <w:spacing w:before="200" w:line-rule="auto"/>
        <w:ind w:firstLine="540"/>
        <w:jc w:val="both"/>
      </w:pPr>
      <w:r>
        <w:rPr>
          <w:sz w:val="20"/>
        </w:rPr>
        <w:t xml:space="preserve">7. </w:t>
      </w:r>
      <w:hyperlink w:history="0" r:id="rId19" w:tooltip="Постановление Правительства Ленинградской области от 11.11.2013 N 386 &quot;О внесении изменений в постановление Правительства Ленинградской области от 7 апреля 2008 года N 71 &quot;Об утверждении Положения о порядке осуществления мер социальной поддержки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11 ноября 2013 года N 386 "О внесении изменений в постановление Правительства Ленинградской области от 7 апреля 2008 года N 71 "Об утверждении Положения о порядке осуществления мер социальной поддержки молодых специалистов в Ленинградской области".</w:t>
      </w:r>
    </w:p>
    <w:p>
      <w:pPr>
        <w:pStyle w:val="0"/>
        <w:spacing w:before="200" w:line-rule="auto"/>
        <w:ind w:firstLine="540"/>
        <w:jc w:val="both"/>
      </w:pPr>
      <w:r>
        <w:rPr>
          <w:sz w:val="20"/>
        </w:rPr>
        <w:t xml:space="preserve">8. </w:t>
      </w:r>
      <w:hyperlink w:history="0" r:id="rId20" w:tooltip="Постановление Правительства Ленинградской области от 15.11.2013 N 412 &quot;О внесении изменений в постановление Правительства Ленинградской области от 28 декабря 2007 года N 339 &quot;О социальной поддержке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15 ноября 2013 года N 412 "О внесении изменений в постановление Правительства Ленинградской области от 28 декабря 2007 года N 339 "О социальной поддержке молодых специалистов в Ленинградской области".</w:t>
      </w:r>
    </w:p>
    <w:p>
      <w:pPr>
        <w:pStyle w:val="0"/>
        <w:spacing w:before="200" w:line-rule="auto"/>
        <w:ind w:firstLine="540"/>
        <w:jc w:val="both"/>
      </w:pPr>
      <w:r>
        <w:rPr>
          <w:sz w:val="20"/>
        </w:rPr>
        <w:t xml:space="preserve">9. </w:t>
      </w:r>
      <w:hyperlink w:history="0" r:id="rId21" w:tooltip="Постановление Правительства Ленинградской области от 28.11.2013 N 430 &quot;О внесении изменений в отдельные постановления Правительства Ленинградской области в сфере социальной поддержки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28 ноября 2013 года N 430 "О внесении изменений в отдельные постановления Правительства Ленинградской области в сфере социальной поддержки молодых специалистов в Ленинградской области".</w:t>
      </w:r>
    </w:p>
    <w:p>
      <w:pPr>
        <w:pStyle w:val="0"/>
        <w:spacing w:before="200" w:line-rule="auto"/>
        <w:ind w:firstLine="540"/>
        <w:jc w:val="both"/>
      </w:pPr>
      <w:r>
        <w:rPr>
          <w:sz w:val="20"/>
        </w:rPr>
        <w:t xml:space="preserve">10. </w:t>
      </w:r>
      <w:hyperlink w:history="0" r:id="rId22" w:tooltip="Постановление Правительства Ленинградской области от 29.04.2016 N 132 &quot;О внесении изменения в постановление Правительства Ленинградской области от 28 декабря 2007 года N 339 &quot;О социальной поддержке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29 апреля 2016 года N 132 "О внесении изменения в постановление Правительства Ленинградской области от 28 декабря 2007 года N 339 "О социальной поддержке молодых специалистов в Ленинградской области".</w:t>
      </w:r>
    </w:p>
    <w:p>
      <w:pPr>
        <w:pStyle w:val="0"/>
        <w:spacing w:before="200" w:line-rule="auto"/>
        <w:ind w:firstLine="540"/>
        <w:jc w:val="both"/>
      </w:pPr>
      <w:r>
        <w:rPr>
          <w:sz w:val="20"/>
        </w:rPr>
        <w:t xml:space="preserve">11. </w:t>
      </w:r>
      <w:hyperlink w:history="0" r:id="rId23" w:tooltip="Постановление Правительства Ленинградской области от 23.05.2016 N 158 &quot;О внесении изменений в постановление Правительства Ленинградской области от 7 апреля 2008 года N 71 &quot;Об утверждении Положения о порядке осуществления мер социальной поддержки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23 мая 2016 года N 158 "О внесении изменений в постановление Правительства Ленинградской области от 7 апреля 2008 года N 71 "Об утверждении Положения о порядке осуществления мер социальной поддержки молодых специалистов в Ленинградской области".</w:t>
      </w:r>
    </w:p>
    <w:p>
      <w:pPr>
        <w:pStyle w:val="0"/>
        <w:spacing w:before="200" w:line-rule="auto"/>
        <w:ind w:firstLine="540"/>
        <w:jc w:val="both"/>
      </w:pPr>
      <w:r>
        <w:rPr>
          <w:sz w:val="20"/>
        </w:rPr>
        <w:t xml:space="preserve">12. </w:t>
      </w:r>
      <w:hyperlink w:history="0" r:id="rId24" w:tooltip="Постановление Правительства Ленинградской области от 15.11.2019 N 527 &quot;О внесении изменений в отдельные постановления Правительства Ленинградской области&quot; ------------ Недействующая редакция {КонсультантПлюс}">
        <w:r>
          <w:rPr>
            <w:sz w:val="20"/>
            <w:color w:val="0000ff"/>
          </w:rPr>
          <w:t xml:space="preserve">Пункты 1</w:t>
        </w:r>
      </w:hyperlink>
      <w:r>
        <w:rPr>
          <w:sz w:val="20"/>
        </w:rPr>
        <w:t xml:space="preserve"> и </w:t>
      </w:r>
      <w:hyperlink w:history="0" r:id="rId25" w:tooltip="Постановление Правительства Ленинградской области от 15.11.2019 N 527 &quot;О внесении изменений в отдельные постановления Правительства Ленинградской области&quot; ------------ Недействующая редакция {КонсультантПлюс}">
        <w:r>
          <w:rPr>
            <w:sz w:val="20"/>
            <w:color w:val="0000ff"/>
          </w:rPr>
          <w:t xml:space="preserve">2</w:t>
        </w:r>
      </w:hyperlink>
      <w:r>
        <w:rPr>
          <w:sz w:val="20"/>
        </w:rPr>
        <w:t xml:space="preserve"> приложения к постановлению Правительства Ленинградской области от 15 ноября 2019 года N 527 "О внесении изменений в отдельные постановления Правительства Ленинградской области".</w:t>
      </w:r>
    </w:p>
    <w:p>
      <w:pPr>
        <w:pStyle w:val="0"/>
        <w:spacing w:before="200" w:line-rule="auto"/>
        <w:ind w:firstLine="540"/>
        <w:jc w:val="both"/>
      </w:pPr>
      <w:r>
        <w:rPr>
          <w:sz w:val="20"/>
        </w:rPr>
        <w:t xml:space="preserve">13. </w:t>
      </w:r>
      <w:hyperlink w:history="0" r:id="rId26" w:tooltip="Постановление Правительства Ленинградской области от 22.06.2020 N 429 &quot;О внесении изменений в отдельные постановления Правительства Ленинградской области по вопросам предоставления в Ленинградской области мер поддержки медицинским работникам&quot; ------------ Недействующая редакция {КонсультантПлюс}">
        <w:r>
          <w:rPr>
            <w:sz w:val="20"/>
            <w:color w:val="0000ff"/>
          </w:rPr>
          <w:t xml:space="preserve">Пункт 1</w:t>
        </w:r>
      </w:hyperlink>
      <w:r>
        <w:rPr>
          <w:sz w:val="20"/>
        </w:rPr>
        <w:t xml:space="preserve"> приложения к постановлению Правительства Ленинградской области от 22 июня 2020 года N 429 "О внесении изменений в отдельные постановления Правительства Ленинградской области по вопросам предоставления в Ленинградской области мер поддержки медицинским работникам".</w:t>
      </w:r>
    </w:p>
    <w:p>
      <w:pPr>
        <w:pStyle w:val="0"/>
        <w:spacing w:before="200" w:line-rule="auto"/>
        <w:ind w:firstLine="540"/>
        <w:jc w:val="both"/>
      </w:pPr>
      <w:r>
        <w:rPr>
          <w:sz w:val="20"/>
        </w:rPr>
        <w:t xml:space="preserve">14. </w:t>
      </w:r>
      <w:hyperlink w:history="0" r:id="rId27" w:tooltip="Постановление Правительства Ленинградской области от 25.02.2021 N 120 &quot;О внесении изменений в отдельные постановления Правительства Ленинградской области по вопросам предоставления в Ленинградской области мер поддержки молодым специалистам&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25 февраля 2021 года N 120 "О внесении изменений в отдельные постановления Правительства Ленинградской области по вопросам предоставления в Ленинградской области мер поддержки молодым специалистам".</w:t>
      </w:r>
    </w:p>
    <w:p>
      <w:pPr>
        <w:pStyle w:val="0"/>
        <w:spacing w:before="200" w:line-rule="auto"/>
        <w:ind w:firstLine="540"/>
        <w:jc w:val="both"/>
      </w:pPr>
      <w:r>
        <w:rPr>
          <w:sz w:val="20"/>
        </w:rPr>
        <w:t xml:space="preserve">15. </w:t>
      </w:r>
      <w:hyperlink w:history="0" r:id="rId28" w:tooltip="Постановление Правительства Ленинградской области от 28.12.2021 N 886 &quot;О внесении изменения в постановление Правительства Ленинградской области от 7 апреля 2008 года N 71 &quot;Об утверждении Положения о порядке осуществления мер социальной поддержки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28 декабря 2021 года N 886 "О внесении изменения в постановление Правительства Ленинградской области от 7 апреля 2008 года N 71 "Об утверждении Положения о порядке осуществления мер социальной поддержки молодых специалистов в Ленинградской области".</w:t>
      </w:r>
    </w:p>
    <w:p>
      <w:pPr>
        <w:pStyle w:val="0"/>
        <w:spacing w:before="200" w:line-rule="auto"/>
        <w:ind w:firstLine="540"/>
        <w:jc w:val="both"/>
      </w:pPr>
      <w:r>
        <w:rPr>
          <w:sz w:val="20"/>
        </w:rPr>
        <w:t xml:space="preserve">16. </w:t>
      </w:r>
      <w:hyperlink w:history="0" r:id="rId29" w:tooltip="Постановление Правительства Ленинградской области от 19.07.2022 N 492 &quot;О внесении изменений в отдельные постановления Правительства Ленинградской области&quot; ------------ Недействующая редакция {КонсультантПлюс}">
        <w:r>
          <w:rPr>
            <w:sz w:val="20"/>
            <w:color w:val="0000ff"/>
          </w:rPr>
          <w:t xml:space="preserve">Пункты 1</w:t>
        </w:r>
      </w:hyperlink>
      <w:r>
        <w:rPr>
          <w:sz w:val="20"/>
        </w:rPr>
        <w:t xml:space="preserve"> и </w:t>
      </w:r>
      <w:hyperlink w:history="0" r:id="rId30" w:tooltip="Постановление Правительства Ленинградской области от 19.07.2022 N 492 &quot;О внесении изменений в отдельные постановления Правительства Ленинградской области&quot; ------------ Недействующая редакция {КонсультантПлюс}">
        <w:r>
          <w:rPr>
            <w:sz w:val="20"/>
            <w:color w:val="0000ff"/>
          </w:rPr>
          <w:t xml:space="preserve">2</w:t>
        </w:r>
      </w:hyperlink>
      <w:r>
        <w:rPr>
          <w:sz w:val="20"/>
        </w:rPr>
        <w:t xml:space="preserve"> постановления Правительства Ленинградской области от 19 июля 2022 года N 492 "О внесении изменений в отдельные постановления Правительства Ленинградской области".</w:t>
      </w:r>
    </w:p>
    <w:p>
      <w:pPr>
        <w:pStyle w:val="0"/>
        <w:spacing w:before="200" w:line-rule="auto"/>
        <w:ind w:firstLine="540"/>
        <w:jc w:val="both"/>
      </w:pPr>
      <w:r>
        <w:rPr>
          <w:sz w:val="20"/>
        </w:rPr>
        <w:t xml:space="preserve">17. </w:t>
      </w:r>
      <w:hyperlink w:history="0" r:id="rId31" w:tooltip="Постановление Правительства Ленинградской области от 10.11.2023 N 788 &quot;О внесении изменений в постановление Правительства Ленинградской области от 7 апреля 2008 года N 71 &quot;Об утверждении Положения о порядке осуществления мер социальной поддержки молодых специалистов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10 ноября 2023 года N 788 "О внесении изменений в постановление Правительства Ленинградской области от 7 апреля 2008 года N 71 "Об утверждении Положения о порядке осуществления мер социальной поддержки молодых специалистов в Ленинградской области".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29.12.2023 N 985</w:t>
            <w:br/>
            <w:t>"О дополнительной мере социальной поддержки молоды...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6454&amp;dst=100708" TargetMode = "External"/>
	<Relationship Id="rId8" Type="http://schemas.openxmlformats.org/officeDocument/2006/relationships/hyperlink" Target="https://login.consultant.ru/link/?req=doc&amp;base=SPB&amp;n=259403" TargetMode = "External"/>
	<Relationship Id="rId9" Type="http://schemas.openxmlformats.org/officeDocument/2006/relationships/hyperlink" Target="https://login.consultant.ru/link/?req=doc&amp;base=SPB&amp;n=282735" TargetMode = "External"/>
	<Relationship Id="rId10" Type="http://schemas.openxmlformats.org/officeDocument/2006/relationships/hyperlink" Target="https://login.consultant.ru/link/?req=doc&amp;base=LAW&amp;n=474024&amp;dst=100547" TargetMode = "External"/>
	<Relationship Id="rId11" Type="http://schemas.openxmlformats.org/officeDocument/2006/relationships/hyperlink" Target="https://login.consultant.ru/link/?req=doc&amp;base=LAW&amp;n=474024&amp;dst=3060" TargetMode = "External"/>
	<Relationship Id="rId12" Type="http://schemas.openxmlformats.org/officeDocument/2006/relationships/hyperlink" Target="https://login.consultant.ru/link/?req=doc&amp;base=LAW&amp;n=474024&amp;dst=3060" TargetMode = "External"/>
	<Relationship Id="rId13" Type="http://schemas.openxmlformats.org/officeDocument/2006/relationships/hyperlink" Target="https://login.consultant.ru/link/?req=doc&amp;base=SPB&amp;n=259403" TargetMode = "External"/>
	<Relationship Id="rId14" Type="http://schemas.openxmlformats.org/officeDocument/2006/relationships/hyperlink" Target="https://login.consultant.ru/link/?req=doc&amp;base=SPB&amp;n=79277" TargetMode = "External"/>
	<Relationship Id="rId15" Type="http://schemas.openxmlformats.org/officeDocument/2006/relationships/hyperlink" Target="https://login.consultant.ru/link/?req=doc&amp;base=SPB&amp;n=282735" TargetMode = "External"/>
	<Relationship Id="rId16" Type="http://schemas.openxmlformats.org/officeDocument/2006/relationships/hyperlink" Target="https://login.consultant.ru/link/?req=doc&amp;base=SPB&amp;n=86553" TargetMode = "External"/>
	<Relationship Id="rId17" Type="http://schemas.openxmlformats.org/officeDocument/2006/relationships/hyperlink" Target="https://login.consultant.ru/link/?req=doc&amp;base=SPB&amp;n=88578" TargetMode = "External"/>
	<Relationship Id="rId18" Type="http://schemas.openxmlformats.org/officeDocument/2006/relationships/hyperlink" Target="https://login.consultant.ru/link/?req=doc&amp;base=SPB&amp;n=120760" TargetMode = "External"/>
	<Relationship Id="rId19" Type="http://schemas.openxmlformats.org/officeDocument/2006/relationships/hyperlink" Target="https://login.consultant.ru/link/?req=doc&amp;base=SPB&amp;n=141304" TargetMode = "External"/>
	<Relationship Id="rId20" Type="http://schemas.openxmlformats.org/officeDocument/2006/relationships/hyperlink" Target="https://login.consultant.ru/link/?req=doc&amp;base=SPB&amp;n=141317" TargetMode = "External"/>
	<Relationship Id="rId21" Type="http://schemas.openxmlformats.org/officeDocument/2006/relationships/hyperlink" Target="https://login.consultant.ru/link/?req=doc&amp;base=SPB&amp;n=141729" TargetMode = "External"/>
	<Relationship Id="rId22" Type="http://schemas.openxmlformats.org/officeDocument/2006/relationships/hyperlink" Target="https://login.consultant.ru/link/?req=doc&amp;base=SPB&amp;n=172852" TargetMode = "External"/>
	<Relationship Id="rId23" Type="http://schemas.openxmlformats.org/officeDocument/2006/relationships/hyperlink" Target="https://login.consultant.ru/link/?req=doc&amp;base=SPB&amp;n=173665" TargetMode = "External"/>
	<Relationship Id="rId24" Type="http://schemas.openxmlformats.org/officeDocument/2006/relationships/hyperlink" Target="https://login.consultant.ru/link/?req=doc&amp;base=SPB&amp;n=219106&amp;dst=100010" TargetMode = "External"/>
	<Relationship Id="rId25" Type="http://schemas.openxmlformats.org/officeDocument/2006/relationships/hyperlink" Target="https://login.consultant.ru/link/?req=doc&amp;base=SPB&amp;n=219106&amp;dst=100015" TargetMode = "External"/>
	<Relationship Id="rId26" Type="http://schemas.openxmlformats.org/officeDocument/2006/relationships/hyperlink" Target="https://login.consultant.ru/link/?req=doc&amp;base=SPB&amp;n=227693&amp;dst=100010" TargetMode = "External"/>
	<Relationship Id="rId27" Type="http://schemas.openxmlformats.org/officeDocument/2006/relationships/hyperlink" Target="https://login.consultant.ru/link/?req=doc&amp;base=SPB&amp;n=238388" TargetMode = "External"/>
	<Relationship Id="rId28" Type="http://schemas.openxmlformats.org/officeDocument/2006/relationships/hyperlink" Target="https://login.consultant.ru/link/?req=doc&amp;base=SPB&amp;n=250933" TargetMode = "External"/>
	<Relationship Id="rId29" Type="http://schemas.openxmlformats.org/officeDocument/2006/relationships/hyperlink" Target="https://login.consultant.ru/link/?req=doc&amp;base=SPB&amp;n=259298&amp;dst=100005" TargetMode = "External"/>
	<Relationship Id="rId30" Type="http://schemas.openxmlformats.org/officeDocument/2006/relationships/hyperlink" Target="https://login.consultant.ru/link/?req=doc&amp;base=SPB&amp;n=259298&amp;dst=100006" TargetMode = "External"/>
	<Relationship Id="rId31" Type="http://schemas.openxmlformats.org/officeDocument/2006/relationships/hyperlink" Target="https://login.consultant.ru/link/?req=doc&amp;base=SPB&amp;n=28257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29.12.2023 N 985
"О дополнительной мере социальной поддержки молодых специалистов в Ленинградской области и признании утратившими силу отдельных постановлений Правительства Ленинградской области"</dc:title>
  <dcterms:created xsi:type="dcterms:W3CDTF">2024-06-19T11:34:00Z</dcterms:created>
</cp:coreProperties>
</file>